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C3" w:rsidRPr="0060455A" w:rsidRDefault="00F86F80" w:rsidP="005B4CCE">
      <w:pPr>
        <w:jc w:val="both"/>
        <w:rPr>
          <w:rFonts w:cstheme="minorHAnsi"/>
          <w:sz w:val="24"/>
          <w:szCs w:val="24"/>
        </w:rPr>
      </w:pPr>
      <w:r>
        <w:rPr>
          <w:rFonts w:cstheme="minorHAnsi"/>
          <w:sz w:val="24"/>
          <w:szCs w:val="24"/>
        </w:rPr>
        <w:t>Senate Bill No. 278</w:t>
      </w:r>
      <w:r w:rsidR="0090493F">
        <w:rPr>
          <w:rFonts w:cstheme="minorHAnsi"/>
          <w:sz w:val="24"/>
          <w:szCs w:val="24"/>
        </w:rPr>
        <w:t>0</w:t>
      </w:r>
      <w:r w:rsidR="00AA2548">
        <w:rPr>
          <w:rFonts w:cstheme="minorHAnsi"/>
          <w:sz w:val="24"/>
          <w:szCs w:val="24"/>
        </w:rPr>
        <w:t xml:space="preserve"> and </w:t>
      </w:r>
      <w:r w:rsidR="00396B30">
        <w:rPr>
          <w:rFonts w:cstheme="minorHAnsi"/>
          <w:sz w:val="24"/>
          <w:szCs w:val="24"/>
        </w:rPr>
        <w:t>Senate Bill No. 30</w:t>
      </w:r>
      <w:r w:rsidR="0090493F">
        <w:rPr>
          <w:rFonts w:cstheme="minorHAnsi"/>
          <w:sz w:val="24"/>
          <w:szCs w:val="24"/>
        </w:rPr>
        <w:t>6</w:t>
      </w:r>
      <w:r w:rsidR="00396B30">
        <w:rPr>
          <w:rFonts w:cstheme="minorHAnsi"/>
          <w:sz w:val="24"/>
          <w:szCs w:val="24"/>
        </w:rPr>
        <w:t>4</w:t>
      </w:r>
    </w:p>
    <w:p w:rsidR="00A16E5B" w:rsidRDefault="00666BDC" w:rsidP="005B4CCE">
      <w:pPr>
        <w:jc w:val="both"/>
        <w:rPr>
          <w:rFonts w:cstheme="minorHAnsi"/>
          <w:sz w:val="24"/>
          <w:szCs w:val="24"/>
        </w:rPr>
      </w:pPr>
      <w:r>
        <w:rPr>
          <w:rFonts w:cstheme="minorHAnsi"/>
          <w:sz w:val="24"/>
          <w:szCs w:val="24"/>
        </w:rPr>
        <w:t>M</w:t>
      </w:r>
      <w:r w:rsidR="00396B30">
        <w:rPr>
          <w:rFonts w:cstheme="minorHAnsi"/>
          <w:sz w:val="24"/>
          <w:szCs w:val="24"/>
        </w:rPr>
        <w:t>S</w:t>
      </w:r>
      <w:r w:rsidR="00714A89">
        <w:rPr>
          <w:rFonts w:cstheme="minorHAnsi"/>
          <w:sz w:val="24"/>
          <w:szCs w:val="24"/>
        </w:rPr>
        <w:t xml:space="preserve"> Independent </w:t>
      </w:r>
      <w:r w:rsidR="00396B30">
        <w:rPr>
          <w:rFonts w:cstheme="minorHAnsi"/>
          <w:sz w:val="24"/>
          <w:szCs w:val="24"/>
        </w:rPr>
        <w:t>Schools</w:t>
      </w:r>
      <w:r w:rsidR="00714A89">
        <w:rPr>
          <w:rFonts w:cstheme="minorHAnsi"/>
          <w:sz w:val="24"/>
          <w:szCs w:val="24"/>
        </w:rPr>
        <w:t xml:space="preserve"> </w:t>
      </w:r>
      <w:r w:rsidR="0090493F">
        <w:rPr>
          <w:rFonts w:cstheme="minorHAnsi"/>
          <w:sz w:val="24"/>
          <w:szCs w:val="24"/>
        </w:rPr>
        <w:t xml:space="preserve">Infrastructure Grant Program </w:t>
      </w:r>
      <w:r>
        <w:rPr>
          <w:rFonts w:cstheme="minorHAnsi"/>
          <w:sz w:val="24"/>
          <w:szCs w:val="24"/>
        </w:rPr>
        <w:t>Funding</w:t>
      </w:r>
    </w:p>
    <w:p w:rsidR="009F61C3" w:rsidRPr="0060455A" w:rsidRDefault="00A16E5B" w:rsidP="005B4CCE">
      <w:pPr>
        <w:jc w:val="both"/>
        <w:rPr>
          <w:rFonts w:cstheme="minorHAnsi"/>
          <w:b/>
          <w:sz w:val="24"/>
          <w:szCs w:val="24"/>
        </w:rPr>
      </w:pPr>
      <w:r w:rsidRPr="0060455A">
        <w:rPr>
          <w:rFonts w:cstheme="minorHAnsi"/>
          <w:b/>
          <w:sz w:val="24"/>
          <w:szCs w:val="24"/>
        </w:rPr>
        <w:t>Coronavirus</w:t>
      </w:r>
      <w:r w:rsidRPr="002B4B32">
        <w:rPr>
          <w:rFonts w:cstheme="minorHAnsi"/>
          <w:b/>
          <w:sz w:val="24"/>
          <w:szCs w:val="24"/>
        </w:rPr>
        <w:t xml:space="preserve"> </w:t>
      </w:r>
      <w:r w:rsidR="002B4B32" w:rsidRPr="002B4B32">
        <w:rPr>
          <w:rFonts w:eastAsia="Times New Roman" w:cstheme="minorHAnsi"/>
          <w:b/>
          <w:sz w:val="24"/>
          <w:szCs w:val="24"/>
        </w:rPr>
        <w:t>State and Local Fiscal Recovery Funds</w:t>
      </w:r>
      <w:r w:rsidR="002B4B32">
        <w:rPr>
          <w:rFonts w:eastAsia="Times New Roman" w:cstheme="minorHAnsi"/>
          <w:sz w:val="24"/>
          <w:szCs w:val="24"/>
        </w:rPr>
        <w:t xml:space="preserve"> </w:t>
      </w:r>
      <w:r w:rsidR="00B4085E" w:rsidRPr="0060455A">
        <w:rPr>
          <w:rFonts w:cstheme="minorHAnsi"/>
          <w:b/>
          <w:sz w:val="24"/>
          <w:szCs w:val="24"/>
        </w:rPr>
        <w:t xml:space="preserve">Letter </w:t>
      </w:r>
    </w:p>
    <w:p w:rsidR="00465BED" w:rsidRDefault="007E09D8" w:rsidP="005B4CCE">
      <w:pPr>
        <w:shd w:val="clear" w:color="auto" w:fill="FFFFFF"/>
        <w:spacing w:after="150" w:line="240" w:lineRule="auto"/>
        <w:jc w:val="both"/>
        <w:rPr>
          <w:rFonts w:cstheme="minorHAnsi"/>
          <w:sz w:val="24"/>
          <w:szCs w:val="24"/>
        </w:rPr>
      </w:pPr>
      <w:r>
        <w:rPr>
          <w:rFonts w:eastAsia="Times New Roman" w:cstheme="minorHAnsi"/>
          <w:sz w:val="24"/>
          <w:szCs w:val="24"/>
        </w:rPr>
        <w:t>In 2021, the American Rescue Plan Act (ARPA) was signed into law and established the</w:t>
      </w:r>
      <w:r w:rsidR="00465BED" w:rsidRPr="00D41DA8">
        <w:rPr>
          <w:rFonts w:eastAsia="Times New Roman" w:cstheme="minorHAnsi"/>
          <w:sz w:val="24"/>
          <w:szCs w:val="24"/>
        </w:rPr>
        <w:t xml:space="preserve"> Federal Coronavirus </w:t>
      </w:r>
      <w:r>
        <w:rPr>
          <w:rFonts w:eastAsia="Times New Roman" w:cstheme="minorHAnsi"/>
          <w:sz w:val="24"/>
          <w:szCs w:val="24"/>
        </w:rPr>
        <w:t xml:space="preserve">State and Local Fiscal Recovery Funds </w:t>
      </w:r>
      <w:r w:rsidR="00465BED" w:rsidRPr="00D41DA8">
        <w:rPr>
          <w:rFonts w:eastAsia="Times New Roman" w:cstheme="minorHAnsi"/>
          <w:sz w:val="24"/>
          <w:szCs w:val="24"/>
        </w:rPr>
        <w:t>(</w:t>
      </w:r>
      <w:r>
        <w:rPr>
          <w:rFonts w:eastAsia="Times New Roman" w:cstheme="minorHAnsi"/>
          <w:sz w:val="24"/>
          <w:szCs w:val="24"/>
        </w:rPr>
        <w:t>“SLFRF</w:t>
      </w:r>
      <w:r w:rsidR="00465BED" w:rsidRPr="00D41DA8">
        <w:rPr>
          <w:rFonts w:eastAsia="Times New Roman" w:cstheme="minorHAnsi"/>
          <w:sz w:val="24"/>
          <w:szCs w:val="24"/>
        </w:rPr>
        <w:t>”)</w:t>
      </w:r>
      <w:r>
        <w:rPr>
          <w:rFonts w:eastAsia="Times New Roman" w:cstheme="minorHAnsi"/>
          <w:sz w:val="24"/>
          <w:szCs w:val="24"/>
        </w:rPr>
        <w:t xml:space="preserve"> Program. SLFRF provides support</w:t>
      </w:r>
      <w:r w:rsidR="00465BED" w:rsidRPr="00D41DA8">
        <w:rPr>
          <w:rFonts w:eastAsia="Times New Roman" w:cstheme="minorHAnsi"/>
          <w:sz w:val="24"/>
          <w:szCs w:val="24"/>
        </w:rPr>
        <w:t xml:space="preserve"> to state governments</w:t>
      </w:r>
      <w:r w:rsidR="00D71D4D">
        <w:rPr>
          <w:rFonts w:eastAsia="Times New Roman" w:cstheme="minorHAnsi"/>
          <w:sz w:val="24"/>
          <w:szCs w:val="24"/>
        </w:rPr>
        <w:t xml:space="preserve"> and others</w:t>
      </w:r>
      <w:r w:rsidR="00465BED" w:rsidRPr="00D41DA8">
        <w:rPr>
          <w:rFonts w:eastAsia="Times New Roman" w:cstheme="minorHAnsi"/>
          <w:sz w:val="24"/>
          <w:szCs w:val="24"/>
        </w:rPr>
        <w:t xml:space="preserve"> </w:t>
      </w:r>
      <w:r w:rsidR="00515241" w:rsidRPr="00D41DA8">
        <w:rPr>
          <w:rFonts w:eastAsia="Times New Roman" w:cstheme="minorHAnsi"/>
          <w:sz w:val="24"/>
          <w:szCs w:val="24"/>
        </w:rPr>
        <w:t>from the U.S. Treasu</w:t>
      </w:r>
      <w:r>
        <w:rPr>
          <w:rFonts w:eastAsia="Times New Roman" w:cstheme="minorHAnsi"/>
          <w:sz w:val="24"/>
          <w:szCs w:val="24"/>
        </w:rPr>
        <w:t>ry Department</w:t>
      </w:r>
      <w:r w:rsidR="00CF2253">
        <w:rPr>
          <w:rFonts w:eastAsia="Times New Roman" w:cstheme="minorHAnsi"/>
          <w:sz w:val="24"/>
          <w:szCs w:val="24"/>
        </w:rPr>
        <w:t xml:space="preserve"> (Treasury)</w:t>
      </w:r>
      <w:r>
        <w:rPr>
          <w:rFonts w:eastAsia="Times New Roman" w:cstheme="minorHAnsi"/>
          <w:sz w:val="24"/>
          <w:szCs w:val="24"/>
        </w:rPr>
        <w:t xml:space="preserve"> through CFDA 21.027</w:t>
      </w:r>
      <w:r w:rsidR="00465BED" w:rsidRPr="00D41DA8">
        <w:rPr>
          <w:rFonts w:eastAsia="Times New Roman" w:cstheme="minorHAnsi"/>
          <w:sz w:val="24"/>
          <w:szCs w:val="24"/>
        </w:rPr>
        <w:t xml:space="preserve"> in responding to the </w:t>
      </w:r>
      <w:r>
        <w:rPr>
          <w:rFonts w:eastAsia="Times New Roman" w:cstheme="minorHAnsi"/>
          <w:sz w:val="24"/>
          <w:szCs w:val="24"/>
        </w:rPr>
        <w:t xml:space="preserve">economic and public health impacts of COVID-19 </w:t>
      </w:r>
      <w:r w:rsidR="00D71D4D">
        <w:rPr>
          <w:rFonts w:eastAsia="Times New Roman" w:cstheme="minorHAnsi"/>
          <w:sz w:val="24"/>
          <w:szCs w:val="24"/>
        </w:rPr>
        <w:t>and containing impacts on local communities, residents and businesses</w:t>
      </w:r>
      <w:r w:rsidR="00465BED" w:rsidRPr="00D41DA8">
        <w:rPr>
          <w:rFonts w:eastAsia="Times New Roman" w:cstheme="minorHAnsi"/>
          <w:sz w:val="24"/>
          <w:szCs w:val="24"/>
        </w:rPr>
        <w:t xml:space="preserve">. U.S. Treasury Guidance and FAQs for State, Local and </w:t>
      </w:r>
      <w:r w:rsidR="00E66B8A" w:rsidRPr="00D41DA8">
        <w:rPr>
          <w:rFonts w:eastAsia="Times New Roman" w:cstheme="minorHAnsi"/>
          <w:sz w:val="24"/>
          <w:szCs w:val="24"/>
        </w:rPr>
        <w:t>Tribal</w:t>
      </w:r>
      <w:r w:rsidR="00197C39" w:rsidRPr="00D41DA8">
        <w:rPr>
          <w:rFonts w:eastAsia="Times New Roman" w:cstheme="minorHAnsi"/>
          <w:sz w:val="24"/>
          <w:szCs w:val="24"/>
        </w:rPr>
        <w:t xml:space="preserve"> Governments can be found</w:t>
      </w:r>
      <w:r w:rsidR="00197C39" w:rsidRPr="0060455A">
        <w:rPr>
          <w:rFonts w:eastAsia="Times New Roman" w:cstheme="minorHAnsi"/>
          <w:color w:val="555555"/>
          <w:sz w:val="24"/>
          <w:szCs w:val="24"/>
        </w:rPr>
        <w:t xml:space="preserve"> </w:t>
      </w:r>
      <w:r w:rsidR="00D71D4D">
        <w:t xml:space="preserve">at </w:t>
      </w:r>
      <w:hyperlink r:id="rId7" w:history="1">
        <w:r w:rsidR="00D71D4D">
          <w:rPr>
            <w:rStyle w:val="Hyperlink"/>
          </w:rPr>
          <w:t>SLFRF-Final-Rule-FAQ.pdf (treasury.gov)</w:t>
        </w:r>
      </w:hyperlink>
      <w:r w:rsidR="00D71D4D">
        <w:t xml:space="preserve">. </w:t>
      </w:r>
    </w:p>
    <w:p w:rsidR="005B4CCE" w:rsidRPr="00D41DA8" w:rsidRDefault="00D71D4D" w:rsidP="005B4CCE">
      <w:pPr>
        <w:shd w:val="clear" w:color="auto" w:fill="FFFFFF"/>
        <w:spacing w:after="150" w:line="240" w:lineRule="auto"/>
        <w:jc w:val="both"/>
        <w:rPr>
          <w:rFonts w:eastAsia="Times New Roman" w:cstheme="minorHAnsi"/>
          <w:sz w:val="24"/>
          <w:szCs w:val="24"/>
        </w:rPr>
      </w:pPr>
      <w:r>
        <w:rPr>
          <w:rFonts w:eastAsia="Times New Roman" w:cstheme="minorHAnsi"/>
          <w:sz w:val="24"/>
          <w:szCs w:val="24"/>
        </w:rPr>
        <w:t>Recipients under the S</w:t>
      </w:r>
      <w:r w:rsidR="004F5DF0">
        <w:rPr>
          <w:rFonts w:eastAsia="Times New Roman" w:cstheme="minorHAnsi"/>
          <w:sz w:val="24"/>
          <w:szCs w:val="24"/>
        </w:rPr>
        <w:t xml:space="preserve">LFRF program are the eligible entities identified in </w:t>
      </w:r>
      <w:r>
        <w:rPr>
          <w:rFonts w:eastAsia="Times New Roman" w:cstheme="minorHAnsi"/>
          <w:sz w:val="24"/>
          <w:szCs w:val="24"/>
        </w:rPr>
        <w:t>Section 602 and 603</w:t>
      </w:r>
      <w:r w:rsidR="00A13775" w:rsidRPr="00D41DA8">
        <w:rPr>
          <w:rFonts w:eastAsia="Times New Roman" w:cstheme="minorHAnsi"/>
          <w:sz w:val="24"/>
          <w:szCs w:val="24"/>
        </w:rPr>
        <w:t xml:space="preserve"> of the Social Secu</w:t>
      </w:r>
      <w:r>
        <w:rPr>
          <w:rFonts w:eastAsia="Times New Roman" w:cstheme="minorHAnsi"/>
          <w:sz w:val="24"/>
          <w:szCs w:val="24"/>
        </w:rPr>
        <w:t>rity Act, as added by section 99</w:t>
      </w:r>
      <w:r w:rsidR="00A13775" w:rsidRPr="00D41DA8">
        <w:rPr>
          <w:rFonts w:eastAsia="Times New Roman" w:cstheme="minorHAnsi"/>
          <w:sz w:val="24"/>
          <w:szCs w:val="24"/>
        </w:rPr>
        <w:t xml:space="preserve">01 of </w:t>
      </w:r>
      <w:r>
        <w:rPr>
          <w:rFonts w:eastAsia="Times New Roman" w:cstheme="minorHAnsi"/>
          <w:sz w:val="24"/>
          <w:szCs w:val="24"/>
        </w:rPr>
        <w:t>ARPA</w:t>
      </w:r>
      <w:r w:rsidR="0018158C">
        <w:rPr>
          <w:rFonts w:eastAsia="Times New Roman" w:cstheme="minorHAnsi"/>
          <w:sz w:val="24"/>
          <w:szCs w:val="24"/>
        </w:rPr>
        <w:t xml:space="preserve"> and includes the State of Mississippi</w:t>
      </w:r>
      <w:r w:rsidR="00A13775" w:rsidRPr="00D41DA8">
        <w:rPr>
          <w:rFonts w:eastAsia="Times New Roman" w:cstheme="minorHAnsi"/>
          <w:sz w:val="24"/>
          <w:szCs w:val="24"/>
        </w:rPr>
        <w:t xml:space="preserve">.  </w:t>
      </w:r>
      <w:r w:rsidR="0018158C">
        <w:rPr>
          <w:rFonts w:eastAsia="Times New Roman" w:cstheme="minorHAnsi"/>
          <w:sz w:val="24"/>
          <w:szCs w:val="24"/>
        </w:rPr>
        <w:t>E</w:t>
      </w:r>
      <w:r w:rsidR="002B4B32">
        <w:rPr>
          <w:rFonts w:eastAsia="Times New Roman" w:cstheme="minorHAnsi"/>
          <w:sz w:val="24"/>
          <w:szCs w:val="24"/>
        </w:rPr>
        <w:t>ntities that rec</w:t>
      </w:r>
      <w:r w:rsidR="0018158C">
        <w:rPr>
          <w:rFonts w:eastAsia="Times New Roman" w:cstheme="minorHAnsi"/>
          <w:sz w:val="24"/>
          <w:szCs w:val="24"/>
        </w:rPr>
        <w:t>eive a subaward from the State</w:t>
      </w:r>
      <w:r w:rsidR="002B4B32">
        <w:rPr>
          <w:rFonts w:eastAsia="Times New Roman" w:cstheme="minorHAnsi"/>
          <w:sz w:val="24"/>
          <w:szCs w:val="24"/>
        </w:rPr>
        <w:t xml:space="preserve"> to carry out the purposes of the SLFRF </w:t>
      </w:r>
      <w:r w:rsidR="0018158C">
        <w:rPr>
          <w:rFonts w:eastAsia="Times New Roman" w:cstheme="minorHAnsi"/>
          <w:sz w:val="24"/>
          <w:szCs w:val="24"/>
        </w:rPr>
        <w:t>award on behalf of the State are referred to as subrecipients</w:t>
      </w:r>
      <w:r w:rsidR="002B4B32">
        <w:rPr>
          <w:rFonts w:eastAsia="Times New Roman" w:cstheme="minorHAnsi"/>
          <w:sz w:val="24"/>
          <w:szCs w:val="24"/>
        </w:rPr>
        <w:t xml:space="preserve">. </w:t>
      </w:r>
      <w:r w:rsidR="0018158C">
        <w:rPr>
          <w:rFonts w:eastAsia="Times New Roman" w:cstheme="minorHAnsi"/>
          <w:sz w:val="24"/>
          <w:szCs w:val="24"/>
        </w:rPr>
        <w:t>Mississippi is</w:t>
      </w:r>
      <w:r w:rsidR="002B4B32">
        <w:rPr>
          <w:rFonts w:eastAsia="Times New Roman" w:cstheme="minorHAnsi"/>
          <w:sz w:val="24"/>
          <w:szCs w:val="24"/>
        </w:rPr>
        <w:t xml:space="preserve"> accountable to Treasury for oversight of their subrecipients.</w:t>
      </w:r>
      <w:r w:rsidR="002222DB">
        <w:rPr>
          <w:rFonts w:eastAsia="Times New Roman" w:cstheme="minorHAnsi"/>
          <w:sz w:val="24"/>
          <w:szCs w:val="24"/>
        </w:rPr>
        <w:t xml:space="preserve">  Subrecipients must have an active registration on </w:t>
      </w:r>
      <w:hyperlink r:id="rId8" w:history="1">
        <w:r w:rsidR="002222DB" w:rsidRPr="0026758F">
          <w:rPr>
            <w:rStyle w:val="Hyperlink"/>
            <w:rFonts w:eastAsia="Times New Roman" w:cstheme="minorHAnsi"/>
            <w:sz w:val="24"/>
            <w:szCs w:val="24"/>
          </w:rPr>
          <w:t>www.sam.gov</w:t>
        </w:r>
      </w:hyperlink>
      <w:r w:rsidR="002222DB">
        <w:rPr>
          <w:rFonts w:eastAsia="Times New Roman" w:cstheme="minorHAnsi"/>
          <w:sz w:val="24"/>
          <w:szCs w:val="24"/>
        </w:rPr>
        <w:t xml:space="preserve"> and h</w:t>
      </w:r>
      <w:r w:rsidR="00534DD6">
        <w:rPr>
          <w:rFonts w:eastAsia="Times New Roman" w:cstheme="minorHAnsi"/>
          <w:sz w:val="24"/>
          <w:szCs w:val="24"/>
        </w:rPr>
        <w:t>ave a unique entity identifier number</w:t>
      </w:r>
      <w:r w:rsidR="002222DB">
        <w:rPr>
          <w:rFonts w:eastAsia="Times New Roman" w:cstheme="minorHAnsi"/>
          <w:sz w:val="24"/>
          <w:szCs w:val="24"/>
        </w:rPr>
        <w:t xml:space="preserve"> assigned to them.</w:t>
      </w:r>
    </w:p>
    <w:p w:rsidR="00F119C7" w:rsidRPr="00CF2253" w:rsidRDefault="00A94372" w:rsidP="005B4CCE">
      <w:p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ARPA</w:t>
      </w:r>
      <w:r w:rsidR="00A13775" w:rsidRPr="00D41DA8">
        <w:rPr>
          <w:rFonts w:eastAsia="Times New Roman" w:cstheme="minorHAnsi"/>
          <w:sz w:val="24"/>
          <w:szCs w:val="24"/>
        </w:rPr>
        <w:t xml:space="preserve"> provides that </w:t>
      </w:r>
      <w:r w:rsidR="00F119C7" w:rsidRPr="00CF2253">
        <w:rPr>
          <w:rFonts w:eastAsia="Times New Roman" w:cstheme="minorHAnsi"/>
          <w:sz w:val="24"/>
          <w:szCs w:val="24"/>
        </w:rPr>
        <w:t>recipients may use SLFRF funds to support the COVID-19 public health and economic response by addressing COVID-19 and its impact on public health as well as addressing economic harms to households, small businesses, nonprofits, impacted indu</w:t>
      </w:r>
      <w:r w:rsidR="002B4B32" w:rsidRPr="00CF2253">
        <w:rPr>
          <w:rFonts w:eastAsia="Times New Roman" w:cstheme="minorHAnsi"/>
          <w:sz w:val="24"/>
          <w:szCs w:val="24"/>
        </w:rPr>
        <w:t xml:space="preserve">stries, and the public sector. </w:t>
      </w:r>
      <w:r w:rsidR="00F119C7" w:rsidRPr="00CF2253">
        <w:rPr>
          <w:rFonts w:eastAsia="Times New Roman" w:cstheme="minorHAnsi"/>
          <w:sz w:val="24"/>
          <w:szCs w:val="24"/>
        </w:rPr>
        <w:t xml:space="preserve"> Recipients can use funds for programs, services, or capital expenditures that respond to the public health and negative economic impacts of the pandemic. </w:t>
      </w:r>
      <w:r w:rsidR="0090493F">
        <w:rPr>
          <w:rFonts w:eastAsia="Times New Roman" w:cstheme="minorHAnsi"/>
          <w:sz w:val="24"/>
          <w:szCs w:val="24"/>
        </w:rPr>
        <w:t>Funds under this program are awarded for eligible 1) wate</w:t>
      </w:r>
      <w:bookmarkStart w:id="0" w:name="_GoBack"/>
      <w:bookmarkEnd w:id="0"/>
      <w:r w:rsidR="0090493F">
        <w:rPr>
          <w:rFonts w:eastAsia="Times New Roman" w:cstheme="minorHAnsi"/>
          <w:sz w:val="24"/>
          <w:szCs w:val="24"/>
        </w:rPr>
        <w:t xml:space="preserve">r, wastewater and stormwater projects, 2) broadband infrastructure projects, 3) capital investments in congregate living facilities and other key settings, and 4) other projects provided for through ARPA guidelines and guidance. </w:t>
      </w:r>
    </w:p>
    <w:p w:rsidR="00CF077C" w:rsidRPr="0060455A" w:rsidRDefault="00D96C9F" w:rsidP="005B4CCE">
      <w:pPr>
        <w:pStyle w:val="Heading5"/>
        <w:jc w:val="both"/>
        <w:rPr>
          <w:rFonts w:asciiTheme="minorHAnsi" w:hAnsiTheme="minorHAnsi" w:cstheme="minorHAnsi"/>
          <w:sz w:val="24"/>
          <w:szCs w:val="24"/>
        </w:rPr>
      </w:pPr>
      <w:r>
        <w:rPr>
          <w:rFonts w:asciiTheme="minorHAnsi" w:hAnsiTheme="minorHAnsi" w:cstheme="minorHAnsi"/>
          <w:i/>
          <w:sz w:val="24"/>
          <w:szCs w:val="24"/>
        </w:rPr>
        <w:t>Restrictions on Use</w:t>
      </w:r>
    </w:p>
    <w:p w:rsidR="00D96C9F" w:rsidRPr="0060455A" w:rsidRDefault="001F42D7" w:rsidP="00D96C9F">
      <w:pPr>
        <w:pStyle w:val="BodyText"/>
        <w:spacing w:before="100" w:beforeAutospacing="1" w:after="100" w:afterAutospacing="1"/>
        <w:jc w:val="both"/>
        <w:rPr>
          <w:rFonts w:asciiTheme="minorHAnsi" w:hAnsiTheme="minorHAnsi" w:cstheme="minorHAnsi"/>
          <w:sz w:val="24"/>
          <w:szCs w:val="24"/>
        </w:rPr>
      </w:pPr>
      <w:r w:rsidRPr="001F42D7">
        <w:rPr>
          <w:rFonts w:asciiTheme="minorHAnsi" w:hAnsiTheme="minorHAnsi" w:cstheme="minorHAnsi"/>
          <w:sz w:val="24"/>
          <w:szCs w:val="24"/>
        </w:rPr>
        <w:t xml:space="preserve">It is the </w:t>
      </w:r>
      <w:r w:rsidR="00E15F30">
        <w:rPr>
          <w:rFonts w:asciiTheme="minorHAnsi" w:hAnsiTheme="minorHAnsi" w:cstheme="minorHAnsi"/>
          <w:sz w:val="24"/>
          <w:szCs w:val="24"/>
        </w:rPr>
        <w:t>sub</w:t>
      </w:r>
      <w:r w:rsidRPr="001F42D7">
        <w:rPr>
          <w:rFonts w:asciiTheme="minorHAnsi" w:hAnsiTheme="minorHAnsi" w:cstheme="minorHAnsi"/>
          <w:sz w:val="24"/>
          <w:szCs w:val="24"/>
        </w:rPr>
        <w:t>recipient’s responsibility to ensure all SLFRF award funds are used in compliance with the program’s requirements.</w:t>
      </w:r>
      <w:r>
        <w:t xml:space="preserve"> </w:t>
      </w:r>
      <w:r w:rsidR="00D96C9F">
        <w:rPr>
          <w:rFonts w:asciiTheme="minorHAnsi" w:hAnsiTheme="minorHAnsi" w:cstheme="minorHAnsi"/>
          <w:sz w:val="24"/>
          <w:szCs w:val="24"/>
        </w:rPr>
        <w:t>Treasury’s final rule provides restrictions on use of SLFRF award funds, including that recipients may not deposit SLFRF funds into a pension fund; and recipients may not use SLFRF funds directly to service debt, satisfy a judgment or settlement, or contribute to a “rainy day” fund.</w:t>
      </w:r>
      <w:r w:rsidR="00400953">
        <w:rPr>
          <w:rFonts w:asciiTheme="minorHAnsi" w:hAnsiTheme="minorHAnsi" w:cstheme="minorHAnsi"/>
          <w:sz w:val="24"/>
          <w:szCs w:val="24"/>
        </w:rPr>
        <w:t xml:space="preserve"> </w:t>
      </w:r>
      <w:r w:rsidR="00400953" w:rsidRPr="00400953">
        <w:rPr>
          <w:rFonts w:asciiTheme="minorHAnsi" w:hAnsiTheme="minorHAnsi" w:cstheme="minorHAnsi"/>
          <w:sz w:val="24"/>
          <w:szCs w:val="24"/>
        </w:rPr>
        <w:t>Other applicable laws and regulations, outside of</w:t>
      </w:r>
      <w:r w:rsidR="00400953">
        <w:rPr>
          <w:rFonts w:asciiTheme="minorHAnsi" w:hAnsiTheme="minorHAnsi" w:cstheme="minorHAnsi"/>
          <w:sz w:val="24"/>
          <w:szCs w:val="24"/>
        </w:rPr>
        <w:t xml:space="preserve"> SLFRF program requirements,</w:t>
      </w:r>
      <w:r w:rsidR="00400953" w:rsidRPr="00400953">
        <w:rPr>
          <w:rFonts w:asciiTheme="minorHAnsi" w:hAnsiTheme="minorHAnsi" w:cstheme="minorHAnsi"/>
          <w:sz w:val="24"/>
          <w:szCs w:val="24"/>
        </w:rPr>
        <w:t xml:space="preserve"> also apply (e.g., laws around procurement, contracting, conflicts-of-interest, environmental standards, or civil rights)</w:t>
      </w:r>
      <w:r w:rsidR="0087076F">
        <w:rPr>
          <w:rFonts w:asciiTheme="minorHAnsi" w:hAnsiTheme="minorHAnsi" w:cstheme="minorHAnsi"/>
          <w:sz w:val="24"/>
          <w:szCs w:val="24"/>
        </w:rPr>
        <w:t xml:space="preserve"> and exclude premium pay</w:t>
      </w:r>
      <w:r w:rsidR="00400953" w:rsidRPr="00400953">
        <w:rPr>
          <w:rFonts w:asciiTheme="minorHAnsi" w:hAnsiTheme="minorHAnsi" w:cstheme="minorHAnsi"/>
          <w:sz w:val="24"/>
          <w:szCs w:val="24"/>
        </w:rPr>
        <w:t>.</w:t>
      </w:r>
    </w:p>
    <w:p w:rsidR="00CF077C" w:rsidRDefault="00CF077C" w:rsidP="005B4CCE">
      <w:pPr>
        <w:pStyle w:val="BodyText"/>
        <w:spacing w:before="100" w:beforeAutospacing="1" w:after="100" w:afterAutospacing="1"/>
        <w:jc w:val="both"/>
        <w:rPr>
          <w:rFonts w:asciiTheme="minorHAnsi" w:hAnsiTheme="minorHAnsi" w:cstheme="minorHAnsi"/>
          <w:sz w:val="24"/>
          <w:szCs w:val="24"/>
        </w:rPr>
      </w:pPr>
      <w:r w:rsidRPr="0060455A">
        <w:rPr>
          <w:rFonts w:asciiTheme="minorHAnsi" w:hAnsiTheme="minorHAnsi" w:cstheme="minorHAnsi"/>
          <w:sz w:val="24"/>
          <w:szCs w:val="24"/>
        </w:rPr>
        <w:t xml:space="preserve">Eligible uses of the </w:t>
      </w:r>
      <w:r w:rsidR="00CF2253">
        <w:rPr>
          <w:rFonts w:asciiTheme="minorHAnsi" w:hAnsiTheme="minorHAnsi" w:cstheme="minorHAnsi"/>
          <w:sz w:val="24"/>
          <w:szCs w:val="24"/>
        </w:rPr>
        <w:t>SLFRF program</w:t>
      </w:r>
      <w:r w:rsidRPr="0060455A">
        <w:rPr>
          <w:rFonts w:asciiTheme="minorHAnsi" w:hAnsiTheme="minorHAnsi" w:cstheme="minorHAnsi"/>
          <w:sz w:val="24"/>
          <w:szCs w:val="24"/>
        </w:rPr>
        <w:t xml:space="preserve"> may overlap with allowable uses of other federal grants and reimbursements. It is imperative that </w:t>
      </w:r>
      <w:r w:rsidR="00D96C9F">
        <w:rPr>
          <w:rFonts w:asciiTheme="minorHAnsi" w:hAnsiTheme="minorHAnsi" w:cstheme="minorHAnsi"/>
          <w:sz w:val="24"/>
          <w:szCs w:val="24"/>
        </w:rPr>
        <w:t>SLFRF funding is</w:t>
      </w:r>
      <w:r w:rsidRPr="0060455A">
        <w:rPr>
          <w:rFonts w:asciiTheme="minorHAnsi" w:hAnsiTheme="minorHAnsi" w:cstheme="minorHAnsi"/>
          <w:sz w:val="24"/>
          <w:szCs w:val="24"/>
        </w:rPr>
        <w:t xml:space="preserve"> not in addition to any other federal funding for the same expenditure.</w:t>
      </w:r>
    </w:p>
    <w:p w:rsidR="00E06C63" w:rsidRDefault="00E06C63" w:rsidP="005B4CCE">
      <w:pPr>
        <w:pStyle w:val="Heading5"/>
        <w:jc w:val="both"/>
        <w:rPr>
          <w:rFonts w:asciiTheme="minorHAnsi" w:hAnsiTheme="minorHAnsi" w:cstheme="minorHAnsi"/>
          <w:i/>
          <w:sz w:val="24"/>
          <w:szCs w:val="24"/>
        </w:rPr>
      </w:pPr>
    </w:p>
    <w:p w:rsidR="00E06C63" w:rsidRDefault="00E06C63" w:rsidP="005B4CCE">
      <w:pPr>
        <w:pStyle w:val="Heading5"/>
        <w:jc w:val="both"/>
        <w:rPr>
          <w:rFonts w:asciiTheme="minorHAnsi" w:hAnsiTheme="minorHAnsi" w:cstheme="minorHAnsi"/>
          <w:i/>
          <w:sz w:val="24"/>
          <w:szCs w:val="24"/>
        </w:rPr>
      </w:pPr>
    </w:p>
    <w:p w:rsidR="00CF077C" w:rsidRPr="0060455A" w:rsidRDefault="00CF077C" w:rsidP="005B4CCE">
      <w:pPr>
        <w:pStyle w:val="Heading5"/>
        <w:jc w:val="both"/>
        <w:rPr>
          <w:rFonts w:asciiTheme="minorHAnsi" w:hAnsiTheme="minorHAnsi" w:cstheme="minorHAnsi"/>
          <w:sz w:val="24"/>
          <w:szCs w:val="24"/>
        </w:rPr>
      </w:pPr>
      <w:r w:rsidRPr="0060455A">
        <w:rPr>
          <w:rFonts w:asciiTheme="minorHAnsi" w:hAnsiTheme="minorHAnsi" w:cstheme="minorHAnsi"/>
          <w:i/>
          <w:sz w:val="24"/>
          <w:szCs w:val="24"/>
        </w:rPr>
        <w:lastRenderedPageBreak/>
        <w:t>Available Funds</w:t>
      </w:r>
    </w:p>
    <w:p w:rsidR="00A94372" w:rsidRPr="0060455A" w:rsidRDefault="0087076F" w:rsidP="005B4CCE">
      <w:pPr>
        <w:pStyle w:val="BodyText"/>
        <w:spacing w:before="100" w:beforeAutospacing="1" w:after="100" w:afterAutospacing="1"/>
        <w:jc w:val="both"/>
        <w:rPr>
          <w:rFonts w:asciiTheme="minorHAnsi" w:hAnsiTheme="minorHAnsi" w:cstheme="minorHAnsi"/>
          <w:sz w:val="24"/>
          <w:szCs w:val="24"/>
        </w:rPr>
      </w:pPr>
      <w:r>
        <w:rPr>
          <w:rFonts w:asciiTheme="minorHAnsi" w:hAnsiTheme="minorHAnsi" w:cstheme="minorHAnsi"/>
          <w:sz w:val="24"/>
          <w:szCs w:val="24"/>
        </w:rPr>
        <w:t>Each</w:t>
      </w:r>
      <w:r w:rsidR="00A94372">
        <w:rPr>
          <w:rFonts w:asciiTheme="minorHAnsi" w:hAnsiTheme="minorHAnsi" w:cstheme="minorHAnsi"/>
          <w:sz w:val="24"/>
          <w:szCs w:val="24"/>
        </w:rPr>
        <w:t xml:space="preserve"> </w:t>
      </w:r>
      <w:r w:rsidR="00184CDC">
        <w:rPr>
          <w:rFonts w:asciiTheme="minorHAnsi" w:hAnsiTheme="minorHAnsi" w:cstheme="minorHAnsi"/>
          <w:sz w:val="24"/>
          <w:szCs w:val="24"/>
        </w:rPr>
        <w:t xml:space="preserve">recipient </w:t>
      </w:r>
      <w:r w:rsidR="00840B1D">
        <w:rPr>
          <w:rFonts w:asciiTheme="minorHAnsi" w:hAnsiTheme="minorHAnsi" w:cstheme="minorHAnsi"/>
          <w:sz w:val="24"/>
          <w:szCs w:val="24"/>
        </w:rPr>
        <w:t>organization ha</w:t>
      </w:r>
      <w:r>
        <w:rPr>
          <w:rFonts w:asciiTheme="minorHAnsi" w:hAnsiTheme="minorHAnsi" w:cstheme="minorHAnsi"/>
          <w:sz w:val="24"/>
          <w:szCs w:val="24"/>
        </w:rPr>
        <w:t>s</w:t>
      </w:r>
      <w:r w:rsidR="00A94372">
        <w:rPr>
          <w:rFonts w:asciiTheme="minorHAnsi" w:hAnsiTheme="minorHAnsi" w:cstheme="minorHAnsi"/>
          <w:sz w:val="24"/>
          <w:szCs w:val="24"/>
        </w:rPr>
        <w:t xml:space="preserve"> received</w:t>
      </w:r>
      <w:r w:rsidR="00840B1D">
        <w:rPr>
          <w:rFonts w:asciiTheme="minorHAnsi" w:hAnsiTheme="minorHAnsi" w:cstheme="minorHAnsi"/>
          <w:sz w:val="24"/>
          <w:szCs w:val="24"/>
        </w:rPr>
        <w:t xml:space="preserve"> a funding allocation</w:t>
      </w:r>
      <w:r w:rsidR="006D74B3">
        <w:rPr>
          <w:rFonts w:asciiTheme="minorHAnsi" w:hAnsiTheme="minorHAnsi" w:cstheme="minorHAnsi"/>
          <w:sz w:val="24"/>
          <w:szCs w:val="24"/>
        </w:rPr>
        <w:t xml:space="preserve">. </w:t>
      </w:r>
      <w:r w:rsidR="005C24D7">
        <w:rPr>
          <w:rFonts w:asciiTheme="minorHAnsi" w:hAnsiTheme="minorHAnsi" w:cstheme="minorHAnsi"/>
          <w:sz w:val="24"/>
          <w:szCs w:val="24"/>
        </w:rPr>
        <w:t xml:space="preserve">Such </w:t>
      </w:r>
      <w:r w:rsidR="006D74B3">
        <w:rPr>
          <w:rFonts w:asciiTheme="minorHAnsi" w:hAnsiTheme="minorHAnsi" w:cstheme="minorHAnsi"/>
          <w:sz w:val="24"/>
          <w:szCs w:val="24"/>
        </w:rPr>
        <w:t>amount</w:t>
      </w:r>
      <w:r w:rsidR="005C24D7">
        <w:rPr>
          <w:rFonts w:asciiTheme="minorHAnsi" w:hAnsiTheme="minorHAnsi" w:cstheme="minorHAnsi"/>
          <w:sz w:val="24"/>
          <w:szCs w:val="24"/>
        </w:rPr>
        <w:t>s</w:t>
      </w:r>
      <w:r w:rsidR="006D74B3">
        <w:rPr>
          <w:rFonts w:asciiTheme="minorHAnsi" w:hAnsiTheme="minorHAnsi" w:cstheme="minorHAnsi"/>
          <w:sz w:val="24"/>
          <w:szCs w:val="24"/>
        </w:rPr>
        <w:t xml:space="preserve"> will be available for </w:t>
      </w:r>
      <w:r w:rsidR="00E06C63">
        <w:rPr>
          <w:rFonts w:asciiTheme="minorHAnsi" w:hAnsiTheme="minorHAnsi" w:cstheme="minorHAnsi"/>
          <w:sz w:val="24"/>
          <w:szCs w:val="24"/>
        </w:rPr>
        <w:t>organizations</w:t>
      </w:r>
      <w:r w:rsidR="006D74B3">
        <w:rPr>
          <w:rFonts w:asciiTheme="minorHAnsi" w:hAnsiTheme="minorHAnsi" w:cstheme="minorHAnsi"/>
          <w:sz w:val="24"/>
          <w:szCs w:val="24"/>
        </w:rPr>
        <w:t xml:space="preserve"> upon </w:t>
      </w:r>
      <w:r>
        <w:rPr>
          <w:rFonts w:asciiTheme="minorHAnsi" w:hAnsiTheme="minorHAnsi" w:cstheme="minorHAnsi"/>
          <w:sz w:val="24"/>
          <w:szCs w:val="24"/>
        </w:rPr>
        <w:t xml:space="preserve">1) receipt of </w:t>
      </w:r>
      <w:r w:rsidR="006D74B3">
        <w:rPr>
          <w:rFonts w:asciiTheme="minorHAnsi" w:hAnsiTheme="minorHAnsi" w:cstheme="minorHAnsi"/>
          <w:sz w:val="24"/>
          <w:szCs w:val="24"/>
        </w:rPr>
        <w:t>certification</w:t>
      </w:r>
      <w:r w:rsidR="00DA6E21">
        <w:rPr>
          <w:rFonts w:asciiTheme="minorHAnsi" w:hAnsiTheme="minorHAnsi" w:cstheme="minorHAnsi"/>
          <w:sz w:val="24"/>
          <w:szCs w:val="24"/>
        </w:rPr>
        <w:t>s</w:t>
      </w:r>
      <w:r w:rsidR="006D74B3">
        <w:rPr>
          <w:rFonts w:asciiTheme="minorHAnsi" w:hAnsiTheme="minorHAnsi" w:cstheme="minorHAnsi"/>
          <w:sz w:val="24"/>
          <w:szCs w:val="24"/>
        </w:rPr>
        <w:t xml:space="preserve"> </w:t>
      </w:r>
      <w:r>
        <w:rPr>
          <w:rFonts w:asciiTheme="minorHAnsi" w:hAnsiTheme="minorHAnsi" w:cstheme="minorHAnsi"/>
          <w:sz w:val="24"/>
          <w:szCs w:val="24"/>
        </w:rPr>
        <w:t xml:space="preserve">and acknowledgements required by </w:t>
      </w:r>
      <w:r w:rsidR="006D74B3">
        <w:rPr>
          <w:rFonts w:asciiTheme="minorHAnsi" w:hAnsiTheme="minorHAnsi" w:cstheme="minorHAnsi"/>
          <w:sz w:val="24"/>
          <w:szCs w:val="24"/>
        </w:rPr>
        <w:t xml:space="preserve">the Mississippi Department of Finance and Administration </w:t>
      </w:r>
      <w:r w:rsidR="00E06C63">
        <w:rPr>
          <w:rFonts w:asciiTheme="minorHAnsi" w:hAnsiTheme="minorHAnsi" w:cstheme="minorHAnsi"/>
          <w:sz w:val="24"/>
          <w:szCs w:val="24"/>
        </w:rPr>
        <w:t xml:space="preserve">(DFA) </w:t>
      </w:r>
      <w:r>
        <w:rPr>
          <w:rFonts w:asciiTheme="minorHAnsi" w:hAnsiTheme="minorHAnsi" w:cstheme="minorHAnsi"/>
          <w:sz w:val="24"/>
          <w:szCs w:val="24"/>
        </w:rPr>
        <w:t>regarding compliance with grant terms, 2)</w:t>
      </w:r>
      <w:r w:rsidR="00E06C63">
        <w:rPr>
          <w:rFonts w:asciiTheme="minorHAnsi" w:hAnsiTheme="minorHAnsi" w:cstheme="minorHAnsi"/>
          <w:sz w:val="24"/>
          <w:szCs w:val="24"/>
        </w:rPr>
        <w:t xml:space="preserve"> </w:t>
      </w:r>
      <w:r w:rsidR="00184CDC">
        <w:rPr>
          <w:rFonts w:asciiTheme="minorHAnsi" w:hAnsiTheme="minorHAnsi" w:cstheme="minorHAnsi"/>
          <w:sz w:val="24"/>
          <w:szCs w:val="24"/>
        </w:rPr>
        <w:t xml:space="preserve">certification and </w:t>
      </w:r>
      <w:r w:rsidR="00E06C63">
        <w:rPr>
          <w:rFonts w:asciiTheme="minorHAnsi" w:hAnsiTheme="minorHAnsi" w:cstheme="minorHAnsi"/>
          <w:sz w:val="24"/>
          <w:szCs w:val="24"/>
        </w:rPr>
        <w:t xml:space="preserve">submission of </w:t>
      </w:r>
      <w:r w:rsidR="00184CDC">
        <w:rPr>
          <w:rFonts w:asciiTheme="minorHAnsi" w:hAnsiTheme="minorHAnsi" w:cstheme="minorHAnsi"/>
          <w:sz w:val="24"/>
          <w:szCs w:val="24"/>
        </w:rPr>
        <w:t xml:space="preserve">a funding application by the recipient’s board of trustees, and 3) </w:t>
      </w:r>
      <w:r w:rsidR="00E06C63">
        <w:rPr>
          <w:rFonts w:asciiTheme="minorHAnsi" w:hAnsiTheme="minorHAnsi" w:cstheme="minorHAnsi"/>
          <w:sz w:val="24"/>
          <w:szCs w:val="24"/>
        </w:rPr>
        <w:t>submission and approval of monthly expenditure reports into the State’s online portal</w:t>
      </w:r>
      <w:r w:rsidR="00CF077C" w:rsidRPr="0060455A">
        <w:rPr>
          <w:rFonts w:asciiTheme="minorHAnsi" w:hAnsiTheme="minorHAnsi" w:cstheme="minorHAnsi"/>
          <w:sz w:val="24"/>
          <w:szCs w:val="24"/>
        </w:rPr>
        <w:t xml:space="preserve">. </w:t>
      </w:r>
      <w:r>
        <w:rPr>
          <w:rFonts w:asciiTheme="minorHAnsi" w:hAnsiTheme="minorHAnsi" w:cstheme="minorHAnsi"/>
          <w:sz w:val="24"/>
          <w:szCs w:val="24"/>
        </w:rPr>
        <w:t>All funds allocate</w:t>
      </w:r>
      <w:r w:rsidR="00A94372">
        <w:rPr>
          <w:rFonts w:asciiTheme="minorHAnsi" w:hAnsiTheme="minorHAnsi" w:cstheme="minorHAnsi"/>
          <w:sz w:val="24"/>
          <w:szCs w:val="24"/>
        </w:rPr>
        <w:t>d must be</w:t>
      </w:r>
      <w:r w:rsidR="00D96C9F">
        <w:rPr>
          <w:rFonts w:asciiTheme="minorHAnsi" w:hAnsiTheme="minorHAnsi" w:cstheme="minorHAnsi"/>
          <w:sz w:val="24"/>
          <w:szCs w:val="24"/>
        </w:rPr>
        <w:t xml:space="preserve"> used for</w:t>
      </w:r>
      <w:r w:rsidR="00A94372">
        <w:rPr>
          <w:rFonts w:asciiTheme="minorHAnsi" w:hAnsiTheme="minorHAnsi" w:cstheme="minorHAnsi"/>
          <w:sz w:val="24"/>
          <w:szCs w:val="24"/>
        </w:rPr>
        <w:t xml:space="preserve"> obligat</w:t>
      </w:r>
      <w:r w:rsidR="00D96C9F">
        <w:rPr>
          <w:rFonts w:asciiTheme="minorHAnsi" w:hAnsiTheme="minorHAnsi" w:cstheme="minorHAnsi"/>
          <w:sz w:val="24"/>
          <w:szCs w:val="24"/>
        </w:rPr>
        <w:t>ions incurr</w:t>
      </w:r>
      <w:r w:rsidR="00F119C7">
        <w:rPr>
          <w:rFonts w:asciiTheme="minorHAnsi" w:hAnsiTheme="minorHAnsi" w:cstheme="minorHAnsi"/>
          <w:sz w:val="24"/>
          <w:szCs w:val="24"/>
        </w:rPr>
        <w:t xml:space="preserve">ed </w:t>
      </w:r>
      <w:r>
        <w:rPr>
          <w:rFonts w:asciiTheme="minorHAnsi" w:hAnsiTheme="minorHAnsi" w:cstheme="minorHAnsi"/>
          <w:sz w:val="24"/>
          <w:szCs w:val="24"/>
        </w:rPr>
        <w:t>on or before</w:t>
      </w:r>
      <w:r w:rsidR="00F119C7">
        <w:rPr>
          <w:rFonts w:asciiTheme="minorHAnsi" w:hAnsiTheme="minorHAnsi" w:cstheme="minorHAnsi"/>
          <w:sz w:val="24"/>
          <w:szCs w:val="24"/>
        </w:rPr>
        <w:t xml:space="preserve"> December 31, 2024</w:t>
      </w:r>
      <w:r>
        <w:rPr>
          <w:rFonts w:asciiTheme="minorHAnsi" w:hAnsiTheme="minorHAnsi" w:cstheme="minorHAnsi"/>
          <w:sz w:val="24"/>
          <w:szCs w:val="24"/>
        </w:rPr>
        <w:t>, based on subsequent communication from DFA</w:t>
      </w:r>
      <w:r w:rsidR="00A94372">
        <w:rPr>
          <w:rFonts w:asciiTheme="minorHAnsi" w:hAnsiTheme="minorHAnsi" w:cstheme="minorHAnsi"/>
          <w:sz w:val="24"/>
          <w:szCs w:val="24"/>
        </w:rPr>
        <w:t>.</w:t>
      </w:r>
    </w:p>
    <w:p w:rsidR="00CF077C" w:rsidRPr="0060455A" w:rsidRDefault="00CF077C" w:rsidP="005B4CCE">
      <w:pPr>
        <w:pStyle w:val="Heading5"/>
        <w:jc w:val="both"/>
        <w:rPr>
          <w:rFonts w:asciiTheme="minorHAnsi" w:hAnsiTheme="minorHAnsi" w:cstheme="minorHAnsi"/>
          <w:sz w:val="24"/>
          <w:szCs w:val="24"/>
        </w:rPr>
      </w:pPr>
      <w:r w:rsidRPr="0060455A">
        <w:rPr>
          <w:rFonts w:asciiTheme="minorHAnsi" w:hAnsiTheme="minorHAnsi" w:cstheme="minorHAnsi"/>
          <w:i/>
          <w:sz w:val="24"/>
          <w:szCs w:val="24"/>
        </w:rPr>
        <w:t>Audit Provisions and Documentation</w:t>
      </w:r>
    </w:p>
    <w:p w:rsidR="00CF077C" w:rsidRPr="0060455A" w:rsidRDefault="00CF077C" w:rsidP="005B4CCE">
      <w:pPr>
        <w:pStyle w:val="BodyText"/>
        <w:spacing w:before="100" w:beforeAutospacing="1" w:after="100" w:afterAutospacing="1"/>
        <w:jc w:val="both"/>
        <w:rPr>
          <w:rFonts w:asciiTheme="minorHAnsi" w:hAnsiTheme="minorHAnsi" w:cstheme="minorHAnsi"/>
          <w:sz w:val="24"/>
          <w:szCs w:val="24"/>
        </w:rPr>
      </w:pPr>
      <w:r w:rsidRPr="0060455A">
        <w:rPr>
          <w:rFonts w:asciiTheme="minorHAnsi" w:hAnsiTheme="minorHAnsi" w:cstheme="minorHAnsi"/>
          <w:sz w:val="24"/>
          <w:szCs w:val="24"/>
        </w:rPr>
        <w:t xml:space="preserve">Federal </w:t>
      </w:r>
      <w:r w:rsidR="00D96C9F">
        <w:rPr>
          <w:rFonts w:asciiTheme="minorHAnsi" w:hAnsiTheme="minorHAnsi" w:cstheme="minorHAnsi"/>
          <w:sz w:val="24"/>
          <w:szCs w:val="24"/>
        </w:rPr>
        <w:t>SLFRF</w:t>
      </w:r>
      <w:r w:rsidRPr="0060455A">
        <w:rPr>
          <w:rFonts w:asciiTheme="minorHAnsi" w:hAnsiTheme="minorHAnsi" w:cstheme="minorHAnsi"/>
          <w:sz w:val="24"/>
          <w:szCs w:val="24"/>
        </w:rPr>
        <w:t xml:space="preserve"> expenditures are subject to audit by an Inspector General within the Treasury</w:t>
      </w:r>
      <w:r w:rsidR="00DA6E21">
        <w:rPr>
          <w:rFonts w:asciiTheme="minorHAnsi" w:hAnsiTheme="minorHAnsi" w:cstheme="minorHAnsi"/>
          <w:sz w:val="24"/>
          <w:szCs w:val="24"/>
        </w:rPr>
        <w:t>, the Office of the State Auditor for Mississippi, and Mississippi Department of Finance and Administration</w:t>
      </w:r>
      <w:r w:rsidRPr="0060455A">
        <w:rPr>
          <w:rFonts w:asciiTheme="minorHAnsi" w:hAnsiTheme="minorHAnsi" w:cstheme="minorHAnsi"/>
          <w:sz w:val="24"/>
          <w:szCs w:val="24"/>
        </w:rPr>
        <w:t>. Documenting that exp</w:t>
      </w:r>
      <w:r w:rsidR="00D96C9F">
        <w:rPr>
          <w:rFonts w:asciiTheme="minorHAnsi" w:hAnsiTheme="minorHAnsi" w:cstheme="minorHAnsi"/>
          <w:sz w:val="24"/>
          <w:szCs w:val="24"/>
        </w:rPr>
        <w:t>enditures are eligible uses of SLF</w:t>
      </w:r>
      <w:r w:rsidRPr="0060455A">
        <w:rPr>
          <w:rFonts w:asciiTheme="minorHAnsi" w:hAnsiTheme="minorHAnsi" w:cstheme="minorHAnsi"/>
          <w:sz w:val="24"/>
          <w:szCs w:val="24"/>
        </w:rPr>
        <w:t xml:space="preserve">RF funds is essential to managing compliance risk and to minimizing the possibility that the expenditures are </w:t>
      </w:r>
      <w:r w:rsidR="00A52E4C">
        <w:rPr>
          <w:rFonts w:asciiTheme="minorHAnsi" w:hAnsiTheme="minorHAnsi" w:cstheme="minorHAnsi"/>
          <w:sz w:val="24"/>
          <w:szCs w:val="24"/>
        </w:rPr>
        <w:t xml:space="preserve">ultimately </w:t>
      </w:r>
      <w:r w:rsidRPr="0060455A">
        <w:rPr>
          <w:rFonts w:asciiTheme="minorHAnsi" w:hAnsiTheme="minorHAnsi" w:cstheme="minorHAnsi"/>
          <w:sz w:val="24"/>
          <w:szCs w:val="24"/>
        </w:rPr>
        <w:t xml:space="preserve">deemed ineligible, which could require the </w:t>
      </w:r>
      <w:r w:rsidR="005D5441">
        <w:rPr>
          <w:rFonts w:asciiTheme="minorHAnsi" w:hAnsiTheme="minorHAnsi" w:cstheme="minorHAnsi"/>
          <w:sz w:val="24"/>
          <w:szCs w:val="24"/>
        </w:rPr>
        <w:t>o</w:t>
      </w:r>
      <w:r w:rsidR="00711C05" w:rsidRPr="0060455A">
        <w:rPr>
          <w:rFonts w:asciiTheme="minorHAnsi" w:hAnsiTheme="minorHAnsi" w:cstheme="minorHAnsi"/>
          <w:sz w:val="24"/>
          <w:szCs w:val="24"/>
        </w:rPr>
        <w:t>rganization</w:t>
      </w:r>
      <w:r w:rsidR="00A52E4C">
        <w:rPr>
          <w:rFonts w:asciiTheme="minorHAnsi" w:hAnsiTheme="minorHAnsi" w:cstheme="minorHAnsi"/>
          <w:sz w:val="24"/>
          <w:szCs w:val="24"/>
        </w:rPr>
        <w:t xml:space="preserve"> and the S</w:t>
      </w:r>
      <w:r w:rsidRPr="0060455A">
        <w:rPr>
          <w:rFonts w:asciiTheme="minorHAnsi" w:hAnsiTheme="minorHAnsi" w:cstheme="minorHAnsi"/>
          <w:sz w:val="24"/>
          <w:szCs w:val="24"/>
        </w:rPr>
        <w:t>tate to return funds to the federal</w:t>
      </w:r>
      <w:r w:rsidRPr="0060455A">
        <w:rPr>
          <w:rFonts w:asciiTheme="minorHAnsi" w:hAnsiTheme="minorHAnsi" w:cstheme="minorHAnsi"/>
          <w:spacing w:val="-10"/>
          <w:sz w:val="24"/>
          <w:szCs w:val="24"/>
        </w:rPr>
        <w:t xml:space="preserve"> </w:t>
      </w:r>
      <w:r w:rsidR="00A52E4C">
        <w:rPr>
          <w:rFonts w:asciiTheme="minorHAnsi" w:hAnsiTheme="minorHAnsi" w:cstheme="minorHAnsi"/>
          <w:sz w:val="24"/>
          <w:szCs w:val="24"/>
        </w:rPr>
        <w:t>government.</w:t>
      </w:r>
    </w:p>
    <w:p w:rsidR="00A13775" w:rsidRPr="0060455A" w:rsidRDefault="00A13775" w:rsidP="005B4CCE">
      <w:pPr>
        <w:pStyle w:val="BodyText"/>
        <w:spacing w:before="100" w:beforeAutospacing="1" w:after="100" w:afterAutospacing="1"/>
        <w:jc w:val="both"/>
        <w:rPr>
          <w:rFonts w:asciiTheme="minorHAnsi" w:hAnsiTheme="minorHAnsi" w:cstheme="minorHAnsi"/>
          <w:b/>
          <w:i/>
          <w:sz w:val="24"/>
          <w:szCs w:val="24"/>
        </w:rPr>
      </w:pPr>
      <w:r w:rsidRPr="0060455A">
        <w:rPr>
          <w:rFonts w:asciiTheme="minorHAnsi" w:hAnsiTheme="minorHAnsi" w:cstheme="minorHAnsi"/>
          <w:b/>
          <w:i/>
          <w:sz w:val="24"/>
          <w:szCs w:val="24"/>
        </w:rPr>
        <w:t>Certification</w:t>
      </w:r>
    </w:p>
    <w:p w:rsidR="00A13775" w:rsidRPr="0060455A" w:rsidRDefault="00A13775" w:rsidP="005B4CCE">
      <w:pPr>
        <w:pStyle w:val="BodyText"/>
        <w:spacing w:before="100" w:beforeAutospacing="1" w:after="100" w:afterAutospacing="1"/>
        <w:jc w:val="both"/>
        <w:rPr>
          <w:rFonts w:asciiTheme="minorHAnsi" w:hAnsiTheme="minorHAnsi" w:cstheme="minorHAnsi"/>
          <w:sz w:val="24"/>
          <w:szCs w:val="24"/>
        </w:rPr>
      </w:pPr>
      <w:r w:rsidRPr="0060455A">
        <w:rPr>
          <w:rFonts w:asciiTheme="minorHAnsi" w:hAnsiTheme="minorHAnsi" w:cstheme="minorHAnsi"/>
          <w:sz w:val="24"/>
          <w:szCs w:val="24"/>
        </w:rPr>
        <w:t xml:space="preserve">Eligibility to receive payment from the State’s portion of funds from the </w:t>
      </w:r>
      <w:r w:rsidR="002222DB">
        <w:rPr>
          <w:rFonts w:asciiTheme="minorHAnsi" w:hAnsiTheme="minorHAnsi" w:cstheme="minorHAnsi"/>
          <w:sz w:val="24"/>
          <w:szCs w:val="24"/>
        </w:rPr>
        <w:t>SLFRF Program</w:t>
      </w:r>
      <w:r w:rsidRPr="0060455A">
        <w:rPr>
          <w:rFonts w:asciiTheme="minorHAnsi" w:hAnsiTheme="minorHAnsi" w:cstheme="minorHAnsi"/>
          <w:sz w:val="24"/>
          <w:szCs w:val="24"/>
        </w:rPr>
        <w:t xml:space="preserve"> is contingent upon t</w:t>
      </w:r>
      <w:r w:rsidR="00A52E4C">
        <w:rPr>
          <w:rFonts w:asciiTheme="minorHAnsi" w:hAnsiTheme="minorHAnsi" w:cstheme="minorHAnsi"/>
          <w:sz w:val="24"/>
          <w:szCs w:val="24"/>
        </w:rPr>
        <w:t xml:space="preserve">he </w:t>
      </w:r>
      <w:r w:rsidR="00400953">
        <w:rPr>
          <w:rFonts w:asciiTheme="minorHAnsi" w:hAnsiTheme="minorHAnsi" w:cstheme="minorHAnsi"/>
          <w:sz w:val="24"/>
          <w:szCs w:val="24"/>
        </w:rPr>
        <w:t>sub</w:t>
      </w:r>
      <w:r w:rsidR="00A52E4C">
        <w:rPr>
          <w:rFonts w:asciiTheme="minorHAnsi" w:hAnsiTheme="minorHAnsi" w:cstheme="minorHAnsi"/>
          <w:sz w:val="24"/>
          <w:szCs w:val="24"/>
        </w:rPr>
        <w:t xml:space="preserve">recipient </w:t>
      </w:r>
      <w:r w:rsidRPr="0060455A">
        <w:rPr>
          <w:rFonts w:asciiTheme="minorHAnsi" w:hAnsiTheme="minorHAnsi" w:cstheme="minorHAnsi"/>
          <w:sz w:val="24"/>
          <w:szCs w:val="24"/>
        </w:rPr>
        <w:t xml:space="preserve">certifying, in writing that the </w:t>
      </w:r>
      <w:r w:rsidR="00400953">
        <w:rPr>
          <w:rFonts w:asciiTheme="minorHAnsi" w:hAnsiTheme="minorHAnsi" w:cstheme="minorHAnsi"/>
          <w:sz w:val="24"/>
          <w:szCs w:val="24"/>
        </w:rPr>
        <w:t>sub</w:t>
      </w:r>
      <w:r w:rsidRPr="0060455A">
        <w:rPr>
          <w:rFonts w:asciiTheme="minorHAnsi" w:hAnsiTheme="minorHAnsi" w:cstheme="minorHAnsi"/>
          <w:sz w:val="24"/>
          <w:szCs w:val="24"/>
        </w:rPr>
        <w:t xml:space="preserve">recipient will: (1) use the funds in a lawful manner and (2) will comply with any and all policies and directives issued by the Mississippi Department of Finance and Administration related to the Coronavirus </w:t>
      </w:r>
      <w:r w:rsidR="00400953">
        <w:rPr>
          <w:rFonts w:asciiTheme="minorHAnsi" w:hAnsiTheme="minorHAnsi" w:cstheme="minorHAnsi"/>
          <w:sz w:val="24"/>
          <w:szCs w:val="24"/>
        </w:rPr>
        <w:t>SLFRF program</w:t>
      </w:r>
      <w:r w:rsidRPr="0060455A">
        <w:rPr>
          <w:rFonts w:asciiTheme="minorHAnsi" w:hAnsiTheme="minorHAnsi" w:cstheme="minorHAnsi"/>
          <w:sz w:val="24"/>
          <w:szCs w:val="24"/>
        </w:rPr>
        <w:t>.</w:t>
      </w:r>
    </w:p>
    <w:p w:rsidR="00A13775" w:rsidRPr="0060455A" w:rsidRDefault="00A13775" w:rsidP="0026219D">
      <w:pPr>
        <w:pStyle w:val="BodyText"/>
        <w:spacing w:before="100" w:beforeAutospacing="1" w:after="100" w:afterAutospacing="1"/>
        <w:jc w:val="both"/>
        <w:rPr>
          <w:rFonts w:cstheme="minorHAnsi"/>
          <w:b/>
          <w:bCs/>
          <w:i/>
          <w:color w:val="555555"/>
          <w:sz w:val="24"/>
          <w:szCs w:val="24"/>
        </w:rPr>
      </w:pPr>
      <w:r w:rsidRPr="0026219D">
        <w:rPr>
          <w:rFonts w:asciiTheme="minorHAnsi" w:hAnsiTheme="minorHAnsi" w:cstheme="minorHAnsi"/>
          <w:b/>
          <w:i/>
          <w:sz w:val="24"/>
          <w:szCs w:val="24"/>
        </w:rPr>
        <w:t>Recoupment</w:t>
      </w:r>
    </w:p>
    <w:p w:rsidR="00A13775" w:rsidRPr="0060455A" w:rsidRDefault="00A13775" w:rsidP="005B4CCE">
      <w:pPr>
        <w:pStyle w:val="BodyText"/>
        <w:spacing w:before="100" w:beforeAutospacing="1" w:after="100" w:afterAutospacing="1"/>
        <w:jc w:val="both"/>
        <w:rPr>
          <w:rFonts w:asciiTheme="minorHAnsi" w:hAnsiTheme="minorHAnsi" w:cstheme="minorHAnsi"/>
          <w:sz w:val="24"/>
          <w:szCs w:val="24"/>
        </w:rPr>
      </w:pPr>
      <w:r w:rsidRPr="0060455A">
        <w:rPr>
          <w:rFonts w:asciiTheme="minorHAnsi" w:hAnsiTheme="minorHAnsi" w:cstheme="minorHAnsi"/>
          <w:sz w:val="24"/>
          <w:szCs w:val="24"/>
        </w:rPr>
        <w:t xml:space="preserve">The Inspector General of the Treasury is required to conduct monitoring and oversight of the receipt, disbursement, and use of funds made available under this section. If it is determined that the </w:t>
      </w:r>
      <w:r w:rsidR="00E06C63">
        <w:rPr>
          <w:rFonts w:asciiTheme="minorHAnsi" w:hAnsiTheme="minorHAnsi" w:cstheme="minorHAnsi"/>
          <w:sz w:val="24"/>
          <w:szCs w:val="24"/>
        </w:rPr>
        <w:t>subrecipient</w:t>
      </w:r>
      <w:r w:rsidRPr="0060455A">
        <w:rPr>
          <w:rFonts w:asciiTheme="minorHAnsi" w:hAnsiTheme="minorHAnsi" w:cstheme="minorHAnsi"/>
          <w:sz w:val="24"/>
          <w:szCs w:val="24"/>
        </w:rPr>
        <w:t xml:space="preserve"> has failed to comply with </w:t>
      </w:r>
      <w:r w:rsidR="00400953">
        <w:rPr>
          <w:rFonts w:asciiTheme="minorHAnsi" w:hAnsiTheme="minorHAnsi" w:cstheme="minorHAnsi"/>
          <w:sz w:val="24"/>
          <w:szCs w:val="24"/>
        </w:rPr>
        <w:t>requirements of the</w:t>
      </w:r>
      <w:r w:rsidRPr="0060455A">
        <w:rPr>
          <w:rFonts w:asciiTheme="minorHAnsi" w:hAnsiTheme="minorHAnsi" w:cstheme="minorHAnsi"/>
          <w:sz w:val="24"/>
          <w:szCs w:val="24"/>
        </w:rPr>
        <w:t xml:space="preserve"> </w:t>
      </w:r>
      <w:r w:rsidR="00400953">
        <w:rPr>
          <w:rFonts w:asciiTheme="minorHAnsi" w:hAnsiTheme="minorHAnsi" w:cstheme="minorHAnsi"/>
          <w:sz w:val="24"/>
          <w:szCs w:val="24"/>
        </w:rPr>
        <w:t>SLFRF program</w:t>
      </w:r>
      <w:r w:rsidRPr="0060455A">
        <w:rPr>
          <w:rFonts w:asciiTheme="minorHAnsi" w:hAnsiTheme="minorHAnsi" w:cstheme="minorHAnsi"/>
          <w:sz w:val="24"/>
          <w:szCs w:val="24"/>
        </w:rPr>
        <w:t xml:space="preserve">, funds used in violation shall be considered, by the State of </w:t>
      </w:r>
      <w:r w:rsidR="0060455A">
        <w:rPr>
          <w:rFonts w:asciiTheme="minorHAnsi" w:hAnsiTheme="minorHAnsi" w:cstheme="minorHAnsi"/>
          <w:sz w:val="24"/>
          <w:szCs w:val="24"/>
        </w:rPr>
        <w:t>Mississippi</w:t>
      </w:r>
      <w:r w:rsidRPr="0060455A">
        <w:rPr>
          <w:rFonts w:asciiTheme="minorHAnsi" w:hAnsiTheme="minorHAnsi" w:cstheme="minorHAnsi"/>
          <w:sz w:val="24"/>
          <w:szCs w:val="24"/>
        </w:rPr>
        <w:t xml:space="preserve">, as a debt of the </w:t>
      </w:r>
      <w:r w:rsidR="00400953">
        <w:rPr>
          <w:rFonts w:asciiTheme="minorHAnsi" w:hAnsiTheme="minorHAnsi" w:cstheme="minorHAnsi"/>
          <w:sz w:val="24"/>
          <w:szCs w:val="24"/>
        </w:rPr>
        <w:t>sub</w:t>
      </w:r>
      <w:r w:rsidRPr="0060455A">
        <w:rPr>
          <w:rFonts w:asciiTheme="minorHAnsi" w:hAnsiTheme="minorHAnsi" w:cstheme="minorHAnsi"/>
          <w:sz w:val="24"/>
          <w:szCs w:val="24"/>
        </w:rPr>
        <w:t>recipient owed directly to the Federal Government.</w:t>
      </w:r>
    </w:p>
    <w:p w:rsidR="00A13775" w:rsidRPr="0060455A" w:rsidRDefault="00A13775" w:rsidP="005B4CCE">
      <w:pPr>
        <w:pStyle w:val="BodyText"/>
        <w:spacing w:before="100" w:beforeAutospacing="1" w:after="100" w:afterAutospacing="1"/>
        <w:jc w:val="both"/>
        <w:rPr>
          <w:rFonts w:asciiTheme="minorHAnsi" w:hAnsiTheme="minorHAnsi" w:cstheme="minorHAnsi"/>
          <w:sz w:val="24"/>
          <w:szCs w:val="24"/>
        </w:rPr>
      </w:pPr>
      <w:r w:rsidRPr="0060455A">
        <w:rPr>
          <w:rFonts w:asciiTheme="minorHAnsi" w:hAnsiTheme="minorHAnsi" w:cstheme="minorHAnsi"/>
          <w:sz w:val="24"/>
          <w:szCs w:val="24"/>
        </w:rPr>
        <w:t xml:space="preserve">Expenditure of </w:t>
      </w:r>
      <w:r w:rsidR="00400953">
        <w:rPr>
          <w:rFonts w:asciiTheme="minorHAnsi" w:hAnsiTheme="minorHAnsi" w:cstheme="minorHAnsi"/>
          <w:sz w:val="24"/>
          <w:szCs w:val="24"/>
        </w:rPr>
        <w:t>SLFRF</w:t>
      </w:r>
      <w:r w:rsidRPr="0060455A">
        <w:rPr>
          <w:rFonts w:asciiTheme="minorHAnsi" w:hAnsiTheme="minorHAnsi" w:cstheme="minorHAnsi"/>
          <w:sz w:val="24"/>
          <w:szCs w:val="24"/>
        </w:rPr>
        <w:t xml:space="preserve"> in a manner not allowed or inconsistent with the law may result in future awards being suspended or terminated.</w:t>
      </w:r>
    </w:p>
    <w:p w:rsidR="006777AB" w:rsidRPr="0026219D" w:rsidRDefault="00DA634B" w:rsidP="0026219D">
      <w:pPr>
        <w:pStyle w:val="BodyText"/>
        <w:spacing w:before="100" w:beforeAutospacing="1" w:after="100" w:afterAutospacing="1"/>
        <w:jc w:val="both"/>
        <w:rPr>
          <w:rFonts w:asciiTheme="minorHAnsi" w:hAnsiTheme="minorHAnsi" w:cstheme="minorHAnsi"/>
          <w:b/>
          <w:i/>
          <w:sz w:val="24"/>
          <w:szCs w:val="24"/>
        </w:rPr>
      </w:pPr>
      <w:r w:rsidRPr="0026219D">
        <w:rPr>
          <w:rFonts w:asciiTheme="minorHAnsi" w:hAnsiTheme="minorHAnsi" w:cstheme="minorHAnsi"/>
          <w:b/>
          <w:i/>
          <w:sz w:val="24"/>
          <w:szCs w:val="24"/>
        </w:rPr>
        <w:t>Process</w:t>
      </w:r>
      <w:r w:rsidR="00184CDC">
        <w:rPr>
          <w:rFonts w:asciiTheme="minorHAnsi" w:hAnsiTheme="minorHAnsi" w:cstheme="minorHAnsi"/>
          <w:b/>
          <w:i/>
          <w:sz w:val="24"/>
          <w:szCs w:val="24"/>
        </w:rPr>
        <w:t xml:space="preserve"> to Receive Funding</w:t>
      </w:r>
    </w:p>
    <w:p w:rsidR="009D53EE" w:rsidRPr="00D41DA8" w:rsidRDefault="009D53EE" w:rsidP="009D53EE">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Step 1</w:t>
      </w:r>
      <w:r w:rsidRPr="00D41DA8">
        <w:rPr>
          <w:rFonts w:cstheme="minorHAnsi"/>
          <w:sz w:val="24"/>
          <w:szCs w:val="24"/>
        </w:rPr>
        <w:t xml:space="preserve"> – Complete the </w:t>
      </w:r>
      <w:r w:rsidR="00400953">
        <w:rPr>
          <w:rFonts w:cstheme="minorHAnsi"/>
          <w:sz w:val="24"/>
          <w:szCs w:val="24"/>
        </w:rPr>
        <w:t>Prequalification Application</w:t>
      </w:r>
      <w:r>
        <w:rPr>
          <w:rFonts w:cstheme="minorHAnsi"/>
          <w:sz w:val="24"/>
          <w:szCs w:val="24"/>
        </w:rPr>
        <w:t xml:space="preserve"> Form</w:t>
      </w:r>
      <w:r w:rsidR="006A6E03">
        <w:rPr>
          <w:rFonts w:cstheme="minorHAnsi"/>
          <w:sz w:val="24"/>
          <w:szCs w:val="24"/>
        </w:rPr>
        <w:t xml:space="preserve"> in the online portal and complete and </w:t>
      </w:r>
      <w:r w:rsidR="00396B30">
        <w:rPr>
          <w:rFonts w:cstheme="minorHAnsi"/>
          <w:sz w:val="24"/>
          <w:szCs w:val="24"/>
        </w:rPr>
        <w:t>upload the documents requested in the portal</w:t>
      </w:r>
      <w:r w:rsidR="006A6E03">
        <w:rPr>
          <w:rFonts w:cstheme="minorHAnsi"/>
          <w:sz w:val="24"/>
          <w:szCs w:val="24"/>
        </w:rPr>
        <w:t>.</w:t>
      </w:r>
    </w:p>
    <w:p w:rsidR="006777AB" w:rsidRDefault="00DA634B" w:rsidP="005B4CCE">
      <w:pPr>
        <w:shd w:val="clear" w:color="auto" w:fill="FFFFFF"/>
        <w:spacing w:before="100" w:beforeAutospacing="1" w:after="100" w:afterAutospacing="1"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Step </w:t>
      </w:r>
      <w:r w:rsidR="009D53EE">
        <w:rPr>
          <w:rFonts w:eastAsia="Times New Roman" w:cstheme="minorHAnsi"/>
          <w:color w:val="000000" w:themeColor="text1"/>
          <w:sz w:val="24"/>
          <w:szCs w:val="24"/>
        </w:rPr>
        <w:t>2</w:t>
      </w:r>
      <w:r>
        <w:rPr>
          <w:rFonts w:eastAsia="Times New Roman" w:cstheme="minorHAnsi"/>
          <w:color w:val="000000" w:themeColor="text1"/>
          <w:sz w:val="24"/>
          <w:szCs w:val="24"/>
        </w:rPr>
        <w:t xml:space="preserve"> </w:t>
      </w:r>
      <w:r w:rsidR="006777AB">
        <w:rPr>
          <w:rFonts w:eastAsia="Times New Roman" w:cstheme="minorHAnsi"/>
          <w:color w:val="000000" w:themeColor="text1"/>
          <w:sz w:val="24"/>
          <w:szCs w:val="24"/>
        </w:rPr>
        <w:t>–</w:t>
      </w:r>
      <w:r>
        <w:rPr>
          <w:rFonts w:eastAsia="Times New Roman" w:cstheme="minorHAnsi"/>
          <w:color w:val="000000" w:themeColor="text1"/>
          <w:sz w:val="24"/>
          <w:szCs w:val="24"/>
        </w:rPr>
        <w:t xml:space="preserve"> </w:t>
      </w:r>
      <w:r w:rsidR="006777AB">
        <w:rPr>
          <w:rFonts w:eastAsia="Times New Roman" w:cstheme="minorHAnsi"/>
          <w:color w:val="000000" w:themeColor="text1"/>
          <w:sz w:val="24"/>
          <w:szCs w:val="24"/>
        </w:rPr>
        <w:t xml:space="preserve">Read and sign this </w:t>
      </w:r>
      <w:r w:rsidR="00400953">
        <w:rPr>
          <w:rFonts w:eastAsia="Times New Roman" w:cstheme="minorHAnsi"/>
          <w:color w:val="000000" w:themeColor="text1"/>
          <w:sz w:val="24"/>
          <w:szCs w:val="24"/>
        </w:rPr>
        <w:t>SLFRF</w:t>
      </w:r>
      <w:r w:rsidR="006777AB">
        <w:rPr>
          <w:rFonts w:eastAsia="Times New Roman" w:cstheme="minorHAnsi"/>
          <w:color w:val="000000" w:themeColor="text1"/>
          <w:sz w:val="24"/>
          <w:szCs w:val="24"/>
        </w:rPr>
        <w:t xml:space="preserve"> Letter</w:t>
      </w:r>
    </w:p>
    <w:p w:rsidR="00E340EE" w:rsidRPr="00D41DA8" w:rsidRDefault="009D53EE" w:rsidP="005B4CCE">
      <w:pPr>
        <w:shd w:val="clear" w:color="auto" w:fill="FFFFFF"/>
        <w:spacing w:before="100" w:beforeAutospacing="1" w:after="100" w:afterAutospacing="1" w:line="240" w:lineRule="auto"/>
        <w:jc w:val="both"/>
        <w:rPr>
          <w:rFonts w:cstheme="minorHAnsi"/>
          <w:sz w:val="24"/>
          <w:szCs w:val="24"/>
        </w:rPr>
      </w:pPr>
      <w:r>
        <w:rPr>
          <w:rFonts w:eastAsia="Times New Roman" w:cstheme="minorHAnsi"/>
          <w:color w:val="000000" w:themeColor="text1"/>
          <w:sz w:val="24"/>
          <w:szCs w:val="24"/>
        </w:rPr>
        <w:lastRenderedPageBreak/>
        <w:t>Step 3</w:t>
      </w:r>
      <w:r w:rsidR="006777AB">
        <w:rPr>
          <w:rFonts w:eastAsia="Times New Roman" w:cstheme="minorHAnsi"/>
          <w:color w:val="000000" w:themeColor="text1"/>
          <w:sz w:val="24"/>
          <w:szCs w:val="24"/>
        </w:rPr>
        <w:t xml:space="preserve"> - </w:t>
      </w:r>
      <w:r w:rsidR="006777AB" w:rsidRPr="00D41DA8">
        <w:rPr>
          <w:rFonts w:eastAsia="Times New Roman" w:cstheme="minorHAnsi"/>
          <w:sz w:val="24"/>
          <w:szCs w:val="24"/>
        </w:rPr>
        <w:t>C</w:t>
      </w:r>
      <w:r w:rsidR="00515241" w:rsidRPr="00D41DA8">
        <w:rPr>
          <w:rFonts w:eastAsia="Times New Roman" w:cstheme="minorHAnsi"/>
          <w:sz w:val="24"/>
          <w:szCs w:val="24"/>
        </w:rPr>
        <w:t xml:space="preserve">omplete </w:t>
      </w:r>
      <w:r w:rsidR="00E06C63">
        <w:rPr>
          <w:rFonts w:eastAsia="Times New Roman" w:cstheme="minorHAnsi"/>
          <w:sz w:val="24"/>
          <w:szCs w:val="24"/>
        </w:rPr>
        <w:t xml:space="preserve">the </w:t>
      </w:r>
      <w:r w:rsidR="00400953">
        <w:rPr>
          <w:rFonts w:eastAsia="Times New Roman" w:cstheme="minorHAnsi"/>
          <w:sz w:val="24"/>
          <w:szCs w:val="24"/>
        </w:rPr>
        <w:t>SLF</w:t>
      </w:r>
      <w:r w:rsidR="00465BED" w:rsidRPr="00D41DA8">
        <w:rPr>
          <w:rFonts w:eastAsia="Times New Roman" w:cstheme="minorHAnsi"/>
          <w:sz w:val="24"/>
          <w:szCs w:val="24"/>
        </w:rPr>
        <w:t xml:space="preserve">RF </w:t>
      </w:r>
      <w:r w:rsidR="00E66B8A" w:rsidRPr="00D41DA8">
        <w:rPr>
          <w:rFonts w:eastAsia="Times New Roman" w:cstheme="minorHAnsi"/>
          <w:sz w:val="24"/>
          <w:szCs w:val="24"/>
        </w:rPr>
        <w:t>Grant Agreement</w:t>
      </w:r>
      <w:r w:rsidR="00465BED" w:rsidRPr="00D41DA8">
        <w:rPr>
          <w:rFonts w:eastAsia="Times New Roman" w:cstheme="minorHAnsi"/>
          <w:sz w:val="24"/>
          <w:szCs w:val="24"/>
        </w:rPr>
        <w:t xml:space="preserve"> an</w:t>
      </w:r>
      <w:r w:rsidR="00515241" w:rsidRPr="00D41DA8">
        <w:rPr>
          <w:rFonts w:eastAsia="Times New Roman" w:cstheme="minorHAnsi"/>
          <w:sz w:val="24"/>
          <w:szCs w:val="24"/>
        </w:rPr>
        <w:t>d the related c</w:t>
      </w:r>
      <w:r w:rsidR="0060455A" w:rsidRPr="00D41DA8">
        <w:rPr>
          <w:rFonts w:eastAsia="Times New Roman" w:cstheme="minorHAnsi"/>
          <w:sz w:val="24"/>
          <w:szCs w:val="24"/>
        </w:rPr>
        <w:t>ertification</w:t>
      </w:r>
      <w:r w:rsidR="00515241" w:rsidRPr="00D41DA8">
        <w:rPr>
          <w:rFonts w:eastAsia="Times New Roman" w:cstheme="minorHAnsi"/>
          <w:sz w:val="24"/>
          <w:szCs w:val="24"/>
        </w:rPr>
        <w:t>s</w:t>
      </w:r>
      <w:r w:rsidR="0060455A" w:rsidRPr="00D41DA8">
        <w:rPr>
          <w:rFonts w:eastAsia="Times New Roman" w:cstheme="minorHAnsi"/>
          <w:sz w:val="24"/>
          <w:szCs w:val="24"/>
        </w:rPr>
        <w:t xml:space="preserve"> </w:t>
      </w:r>
      <w:r w:rsidR="00465BED" w:rsidRPr="00D41DA8">
        <w:rPr>
          <w:rFonts w:eastAsia="Times New Roman" w:cstheme="minorHAnsi"/>
          <w:sz w:val="24"/>
          <w:szCs w:val="24"/>
        </w:rPr>
        <w:t xml:space="preserve">before applying for any </w:t>
      </w:r>
      <w:r w:rsidR="00400953">
        <w:rPr>
          <w:rFonts w:eastAsia="Times New Roman" w:cstheme="minorHAnsi"/>
          <w:sz w:val="24"/>
          <w:szCs w:val="24"/>
        </w:rPr>
        <w:t>advance</w:t>
      </w:r>
      <w:r w:rsidR="00465BED" w:rsidRPr="00D41DA8">
        <w:rPr>
          <w:rFonts w:eastAsia="Times New Roman" w:cstheme="minorHAnsi"/>
          <w:sz w:val="24"/>
          <w:szCs w:val="24"/>
        </w:rPr>
        <w:t xml:space="preserve">. This document will be on file with the </w:t>
      </w:r>
      <w:r w:rsidR="0060455A" w:rsidRPr="00D41DA8">
        <w:rPr>
          <w:rFonts w:eastAsia="Times New Roman" w:cstheme="minorHAnsi"/>
          <w:sz w:val="24"/>
          <w:szCs w:val="24"/>
        </w:rPr>
        <w:t>Mississippi Department</w:t>
      </w:r>
      <w:r w:rsidR="0060455A">
        <w:rPr>
          <w:rFonts w:eastAsia="Times New Roman" w:cstheme="minorHAnsi"/>
          <w:color w:val="555555"/>
          <w:sz w:val="24"/>
          <w:szCs w:val="24"/>
        </w:rPr>
        <w:t xml:space="preserve"> </w:t>
      </w:r>
      <w:r w:rsidR="0060455A" w:rsidRPr="00D41DA8">
        <w:rPr>
          <w:rFonts w:cstheme="minorHAnsi"/>
          <w:sz w:val="24"/>
          <w:szCs w:val="24"/>
        </w:rPr>
        <w:t>of Finance and Administration</w:t>
      </w:r>
      <w:r w:rsidR="00AF637B">
        <w:rPr>
          <w:rFonts w:cstheme="minorHAnsi"/>
          <w:sz w:val="24"/>
          <w:szCs w:val="24"/>
        </w:rPr>
        <w:t xml:space="preserve"> and</w:t>
      </w:r>
      <w:r w:rsidR="00A52E4C" w:rsidRPr="00D41DA8">
        <w:rPr>
          <w:rFonts w:cstheme="minorHAnsi"/>
          <w:sz w:val="24"/>
          <w:szCs w:val="24"/>
        </w:rPr>
        <w:t xml:space="preserve"> will not need</w:t>
      </w:r>
      <w:r w:rsidR="00465BED" w:rsidRPr="00D41DA8">
        <w:rPr>
          <w:rFonts w:cstheme="minorHAnsi"/>
          <w:sz w:val="24"/>
          <w:szCs w:val="24"/>
        </w:rPr>
        <w:t xml:space="preserve"> to be attached with each</w:t>
      </w:r>
      <w:r w:rsidR="00400953">
        <w:rPr>
          <w:rFonts w:cstheme="minorHAnsi"/>
          <w:sz w:val="24"/>
          <w:szCs w:val="24"/>
        </w:rPr>
        <w:t xml:space="preserve"> subsequent report</w:t>
      </w:r>
      <w:r w:rsidR="00465BED" w:rsidRPr="00D41DA8">
        <w:rPr>
          <w:rFonts w:cstheme="minorHAnsi"/>
          <w:sz w:val="24"/>
          <w:szCs w:val="24"/>
        </w:rPr>
        <w:t xml:space="preserve">. </w:t>
      </w:r>
    </w:p>
    <w:p w:rsidR="00A316D8" w:rsidRPr="00D41DA8" w:rsidRDefault="009D53EE" w:rsidP="005B4CCE">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Step 4</w:t>
      </w:r>
      <w:r w:rsidR="00A316D8" w:rsidRPr="00D41DA8">
        <w:rPr>
          <w:rFonts w:cstheme="minorHAnsi"/>
          <w:sz w:val="24"/>
          <w:szCs w:val="24"/>
        </w:rPr>
        <w:t xml:space="preserve"> – Complete the subrecipient questionnaire.  OMB Uniform Administrative Requirements, Cost Principles, and Audit Requirements for Federal Awards (2 CFR 200) (“Uniform Guidance”), specifically §200.331, requires pass-through entities to evaluate each subrecipient's risk of noncompliance in order to determine the appropriate monitoring level. This questionnaire is used to help determine a subrecipient organization’s financial and management strength, which helps assess risk and dictates the monitoring plan for subrecipients.  Pass-through entities are then required to monitor the activities of subrecipient organizations to ensure that the subaward is in compliance with applicable federal statutes and regulations and terms of the subaward and to verify that subrecipients are audited as required by Subpart F of the Uniform Guidance. </w:t>
      </w:r>
    </w:p>
    <w:p w:rsidR="006777AB" w:rsidRDefault="00A316D8" w:rsidP="005B4CCE">
      <w:pPr>
        <w:shd w:val="clear" w:color="auto" w:fill="FFFFFF"/>
        <w:spacing w:before="100" w:beforeAutospacing="1" w:after="100" w:afterAutospacing="1" w:line="240" w:lineRule="auto"/>
        <w:jc w:val="both"/>
        <w:rPr>
          <w:rFonts w:cstheme="minorHAnsi"/>
          <w:sz w:val="24"/>
          <w:szCs w:val="24"/>
        </w:rPr>
      </w:pPr>
      <w:r w:rsidRPr="00D41DA8">
        <w:rPr>
          <w:rFonts w:cstheme="minorHAnsi"/>
          <w:sz w:val="24"/>
          <w:szCs w:val="24"/>
        </w:rPr>
        <w:t>Step 5</w:t>
      </w:r>
      <w:r w:rsidR="00C90BE7">
        <w:rPr>
          <w:rFonts w:cstheme="minorHAnsi"/>
          <w:sz w:val="24"/>
          <w:szCs w:val="24"/>
        </w:rPr>
        <w:t xml:space="preserve"> – Submit</w:t>
      </w:r>
      <w:r w:rsidR="00E06C63">
        <w:rPr>
          <w:rFonts w:cstheme="minorHAnsi"/>
          <w:sz w:val="24"/>
          <w:szCs w:val="24"/>
        </w:rPr>
        <w:t xml:space="preserve"> an application for funding in accordance with specifications requested by DFA</w:t>
      </w:r>
      <w:r w:rsidR="006777AB" w:rsidRPr="00D41DA8">
        <w:rPr>
          <w:rFonts w:cstheme="minorHAnsi"/>
          <w:sz w:val="24"/>
          <w:szCs w:val="24"/>
        </w:rPr>
        <w:t>.</w:t>
      </w:r>
      <w:r w:rsidR="00E06C63">
        <w:rPr>
          <w:rFonts w:cstheme="minorHAnsi"/>
          <w:sz w:val="24"/>
          <w:szCs w:val="24"/>
        </w:rPr>
        <w:t xml:space="preserve"> Such application should be certified and submitted by the recipient’s board of trustees.</w:t>
      </w:r>
    </w:p>
    <w:p w:rsidR="00184CDC" w:rsidRPr="0060455A" w:rsidRDefault="00184CDC" w:rsidP="00184CDC">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Step 6 - </w:t>
      </w:r>
      <w:r w:rsidRPr="00D41DA8">
        <w:rPr>
          <w:rFonts w:cstheme="minorHAnsi"/>
          <w:sz w:val="24"/>
          <w:szCs w:val="24"/>
        </w:rPr>
        <w:t xml:space="preserve">Organizations must complete </w:t>
      </w:r>
      <w:r>
        <w:rPr>
          <w:rFonts w:cstheme="minorHAnsi"/>
          <w:sz w:val="24"/>
          <w:szCs w:val="24"/>
        </w:rPr>
        <w:t xml:space="preserve">the </w:t>
      </w:r>
      <w:r w:rsidRPr="00D41DA8">
        <w:rPr>
          <w:rFonts w:cstheme="minorHAnsi"/>
          <w:sz w:val="24"/>
          <w:szCs w:val="24"/>
        </w:rPr>
        <w:t xml:space="preserve">expenditure reimbursement request forms for </w:t>
      </w:r>
      <w:r>
        <w:rPr>
          <w:rFonts w:cstheme="minorHAnsi"/>
          <w:sz w:val="24"/>
          <w:szCs w:val="24"/>
        </w:rPr>
        <w:t>reimbursement of the actual expenditure</w:t>
      </w:r>
      <w:r w:rsidRPr="00D41DA8">
        <w:rPr>
          <w:rFonts w:cstheme="minorHAnsi"/>
          <w:sz w:val="24"/>
          <w:szCs w:val="24"/>
        </w:rPr>
        <w:t xml:space="preserve">s and include copies of invoices and payroll registers for all reimbursement requests. </w:t>
      </w:r>
      <w:r>
        <w:rPr>
          <w:rFonts w:cstheme="minorHAnsi"/>
          <w:sz w:val="24"/>
          <w:szCs w:val="24"/>
        </w:rPr>
        <w:t xml:space="preserve">Complete the </w:t>
      </w:r>
      <w:r w:rsidRPr="0060455A">
        <w:rPr>
          <w:rFonts w:cstheme="minorHAnsi"/>
          <w:sz w:val="24"/>
          <w:szCs w:val="24"/>
        </w:rPr>
        <w:t xml:space="preserve">reimbursement </w:t>
      </w:r>
      <w:r>
        <w:rPr>
          <w:rFonts w:cstheme="minorHAnsi"/>
          <w:sz w:val="24"/>
          <w:szCs w:val="24"/>
        </w:rPr>
        <w:t xml:space="preserve">request </w:t>
      </w:r>
      <w:r w:rsidRPr="0060455A">
        <w:rPr>
          <w:rFonts w:cstheme="minorHAnsi"/>
          <w:sz w:val="24"/>
          <w:szCs w:val="24"/>
        </w:rPr>
        <w:t>with the appro</w:t>
      </w:r>
      <w:r>
        <w:rPr>
          <w:rFonts w:cstheme="minorHAnsi"/>
          <w:sz w:val="24"/>
          <w:szCs w:val="24"/>
        </w:rPr>
        <w:t>priate supporting documentation.  Supporting documentation w</w:t>
      </w:r>
      <w:r w:rsidRPr="0060455A">
        <w:rPr>
          <w:rFonts w:cstheme="minorHAnsi"/>
          <w:sz w:val="24"/>
          <w:szCs w:val="24"/>
        </w:rPr>
        <w:t>ill</w:t>
      </w:r>
      <w:r>
        <w:rPr>
          <w:rFonts w:cstheme="minorHAnsi"/>
          <w:sz w:val="24"/>
          <w:szCs w:val="24"/>
        </w:rPr>
        <w:t xml:space="preserve"> be reviewed to ensure the requests</w:t>
      </w:r>
      <w:r w:rsidRPr="0060455A">
        <w:rPr>
          <w:rFonts w:cstheme="minorHAnsi"/>
          <w:sz w:val="24"/>
          <w:szCs w:val="24"/>
        </w:rPr>
        <w:t xml:space="preserve"> meet the el</w:t>
      </w:r>
      <w:r>
        <w:rPr>
          <w:rFonts w:cstheme="minorHAnsi"/>
          <w:sz w:val="24"/>
          <w:szCs w:val="24"/>
        </w:rPr>
        <w:t>igible use of funds requirements before being</w:t>
      </w:r>
      <w:r w:rsidRPr="0060455A">
        <w:rPr>
          <w:rFonts w:cstheme="minorHAnsi"/>
          <w:sz w:val="24"/>
          <w:szCs w:val="24"/>
        </w:rPr>
        <w:t xml:space="preserve"> approved for payment.  </w:t>
      </w:r>
    </w:p>
    <w:p w:rsidR="00184CDC" w:rsidRPr="0060455A" w:rsidRDefault="00184CDC" w:rsidP="00184CDC">
      <w:pPr>
        <w:spacing w:before="100" w:beforeAutospacing="1" w:after="100" w:afterAutospacing="1" w:line="240" w:lineRule="auto"/>
        <w:jc w:val="both"/>
        <w:rPr>
          <w:rFonts w:cstheme="minorHAnsi"/>
          <w:sz w:val="24"/>
          <w:szCs w:val="24"/>
        </w:rPr>
      </w:pPr>
      <w:r w:rsidRPr="0060455A">
        <w:rPr>
          <w:rFonts w:cstheme="minorHAnsi"/>
          <w:sz w:val="24"/>
          <w:szCs w:val="24"/>
        </w:rPr>
        <w:t>If durin</w:t>
      </w:r>
      <w:r>
        <w:rPr>
          <w:rFonts w:cstheme="minorHAnsi"/>
          <w:sz w:val="24"/>
          <w:szCs w:val="24"/>
        </w:rPr>
        <w:t xml:space="preserve">g the review process of the reimbursement requests, </w:t>
      </w:r>
      <w:r w:rsidRPr="0060455A">
        <w:rPr>
          <w:rFonts w:cstheme="minorHAnsi"/>
          <w:sz w:val="24"/>
          <w:szCs w:val="24"/>
        </w:rPr>
        <w:t xml:space="preserve">costs </w:t>
      </w:r>
      <w:r>
        <w:rPr>
          <w:rFonts w:cstheme="minorHAnsi"/>
          <w:sz w:val="24"/>
          <w:szCs w:val="24"/>
        </w:rPr>
        <w:t xml:space="preserve">are </w:t>
      </w:r>
      <w:r w:rsidRPr="0060455A">
        <w:rPr>
          <w:rFonts w:cstheme="minorHAnsi"/>
          <w:sz w:val="24"/>
          <w:szCs w:val="24"/>
        </w:rPr>
        <w:t>included in the reimbursement requests that are not supported with appropriate documentation or do not meet all three of eligible use of funds conditions</w:t>
      </w:r>
      <w:r>
        <w:rPr>
          <w:rFonts w:cstheme="minorHAnsi"/>
          <w:sz w:val="24"/>
          <w:szCs w:val="24"/>
        </w:rPr>
        <w:t>, such requests will be returned with explanation of the denial and can be resubmitted once the reason for the original denial has been addressed.</w:t>
      </w:r>
    </w:p>
    <w:p w:rsidR="00306EC8" w:rsidRPr="008D702B" w:rsidRDefault="00306EC8" w:rsidP="00306EC8">
      <w:pPr>
        <w:spacing w:before="100" w:beforeAutospacing="1" w:after="100" w:afterAutospacing="1" w:line="240" w:lineRule="auto"/>
        <w:jc w:val="both"/>
        <w:rPr>
          <w:rFonts w:cstheme="minorHAnsi"/>
          <w:b/>
          <w:i/>
          <w:sz w:val="24"/>
          <w:szCs w:val="24"/>
        </w:rPr>
      </w:pPr>
      <w:r w:rsidRPr="008D702B">
        <w:rPr>
          <w:rFonts w:cstheme="minorHAnsi"/>
          <w:b/>
          <w:i/>
          <w:sz w:val="24"/>
          <w:szCs w:val="24"/>
        </w:rPr>
        <w:t>Procurement and Suspension and Debarment Requirements</w:t>
      </w:r>
    </w:p>
    <w:p w:rsidR="00306EC8" w:rsidRPr="008D702B" w:rsidRDefault="00306EC8" w:rsidP="00306EC8">
      <w:pPr>
        <w:widowControl w:val="0"/>
        <w:autoSpaceDE w:val="0"/>
        <w:autoSpaceDN w:val="0"/>
        <w:spacing w:before="225" w:after="0" w:line="240" w:lineRule="auto"/>
        <w:rPr>
          <w:rFonts w:ascii="Times New Roman" w:eastAsia="Times New Roman" w:hAnsi="Times New Roman" w:cs="Times New Roman"/>
          <w:i/>
          <w:sz w:val="24"/>
        </w:rPr>
      </w:pPr>
      <w:r w:rsidRPr="008D702B">
        <w:rPr>
          <w:rFonts w:ascii="Times New Roman" w:eastAsia="Times New Roman" w:hAnsi="Times New Roman" w:cs="Times New Roman"/>
          <w:i/>
          <w:spacing w:val="-2"/>
          <w:sz w:val="24"/>
        </w:rPr>
        <w:t>Procurement</w:t>
      </w:r>
    </w:p>
    <w:p w:rsidR="00306EC8" w:rsidRPr="006A6E03" w:rsidRDefault="00306EC8" w:rsidP="006A6E03">
      <w:pPr>
        <w:spacing w:before="100" w:beforeAutospacing="1" w:after="100" w:afterAutospacing="1" w:line="240" w:lineRule="auto"/>
        <w:jc w:val="both"/>
        <w:rPr>
          <w:rFonts w:cstheme="minorHAnsi"/>
          <w:sz w:val="24"/>
          <w:szCs w:val="24"/>
        </w:rPr>
      </w:pPr>
      <w:r w:rsidRPr="006A6E03">
        <w:rPr>
          <w:rFonts w:cstheme="minorHAnsi"/>
          <w:sz w:val="24"/>
          <w:szCs w:val="24"/>
        </w:rPr>
        <w:t>Recipients may use award funds to enter into contracts to procure goods and services necessary to implement one or more of the eligible purposes outlined in sections 602(c) and 603(c) of the Act and Treasury’s Interim Final Rule. As such, recipients are expected to have procurement policies and procedures in place that comply with the procurement standards outlined in the Uniform Guidance.</w:t>
      </w:r>
      <w:r w:rsidR="002B7D26" w:rsidRPr="006A6E03">
        <w:rPr>
          <w:rFonts w:cstheme="minorHAnsi"/>
          <w:sz w:val="24"/>
          <w:szCs w:val="24"/>
        </w:rPr>
        <w:t xml:space="preserve">  </w:t>
      </w:r>
      <w:r w:rsidRPr="006A6E03">
        <w:rPr>
          <w:rFonts w:cstheme="minorHAnsi"/>
          <w:sz w:val="24"/>
          <w:szCs w:val="24"/>
        </w:rPr>
        <w:t>Specifically, a State must follow the same policies and procedures it uses for procurements from its non-Federal funds and comply with 2 CFR §§ 200.321, 200.322, and 200.323. States must also ensure that every contract includes the applicable contract clauses required by 2 CFR § 200.327. All other entities under the program, including subrecipients of a State, must follow the procurement standards in 2 CFR §§ 200.318 through 200.327, including ensuring that the procurement method used for the contracts are appropriate based on the dollar amount and conditions specified in 2 CFR § 200.320.</w:t>
      </w:r>
    </w:p>
    <w:p w:rsidR="00306EC8" w:rsidRPr="008D702B" w:rsidRDefault="00306EC8" w:rsidP="00306EC8">
      <w:pPr>
        <w:widowControl w:val="0"/>
        <w:tabs>
          <w:tab w:val="left" w:pos="1102"/>
        </w:tabs>
        <w:autoSpaceDE w:val="0"/>
        <w:autoSpaceDN w:val="0"/>
        <w:spacing w:after="0" w:line="240" w:lineRule="auto"/>
        <w:outlineLvl w:val="0"/>
        <w:rPr>
          <w:rFonts w:ascii="Times New Roman" w:eastAsia="Times New Roman" w:hAnsi="Times New Roman" w:cs="Times New Roman"/>
          <w:bCs/>
          <w:i/>
          <w:sz w:val="24"/>
          <w:szCs w:val="24"/>
        </w:rPr>
      </w:pPr>
      <w:r w:rsidRPr="008D702B">
        <w:rPr>
          <w:rFonts w:ascii="Times New Roman" w:eastAsia="Times New Roman" w:hAnsi="Times New Roman" w:cs="Times New Roman"/>
          <w:bCs/>
          <w:i/>
          <w:sz w:val="24"/>
          <w:szCs w:val="24"/>
        </w:rPr>
        <w:lastRenderedPageBreak/>
        <w:t>Suspension</w:t>
      </w:r>
      <w:r w:rsidRPr="008D702B">
        <w:rPr>
          <w:rFonts w:ascii="Times New Roman" w:eastAsia="Times New Roman" w:hAnsi="Times New Roman" w:cs="Times New Roman"/>
          <w:bCs/>
          <w:i/>
          <w:spacing w:val="-15"/>
          <w:sz w:val="24"/>
          <w:szCs w:val="24"/>
        </w:rPr>
        <w:t xml:space="preserve"> </w:t>
      </w:r>
      <w:r w:rsidRPr="008D702B">
        <w:rPr>
          <w:rFonts w:ascii="Times New Roman" w:eastAsia="Times New Roman" w:hAnsi="Times New Roman" w:cs="Times New Roman"/>
          <w:bCs/>
          <w:i/>
          <w:sz w:val="24"/>
          <w:szCs w:val="24"/>
        </w:rPr>
        <w:t>and</w:t>
      </w:r>
      <w:r w:rsidRPr="008D702B">
        <w:rPr>
          <w:rFonts w:ascii="Times New Roman" w:eastAsia="Times New Roman" w:hAnsi="Times New Roman" w:cs="Times New Roman"/>
          <w:bCs/>
          <w:i/>
          <w:spacing w:val="-9"/>
          <w:sz w:val="24"/>
          <w:szCs w:val="24"/>
        </w:rPr>
        <w:t xml:space="preserve"> </w:t>
      </w:r>
      <w:r w:rsidRPr="008D702B">
        <w:rPr>
          <w:rFonts w:ascii="Times New Roman" w:eastAsia="Times New Roman" w:hAnsi="Times New Roman" w:cs="Times New Roman"/>
          <w:bCs/>
          <w:i/>
          <w:spacing w:val="-2"/>
          <w:sz w:val="24"/>
          <w:szCs w:val="24"/>
        </w:rPr>
        <w:t>Debarment</w:t>
      </w:r>
    </w:p>
    <w:p w:rsidR="00306EC8" w:rsidRPr="00CE3CE8" w:rsidRDefault="00306EC8" w:rsidP="00CE3CE8">
      <w:pPr>
        <w:spacing w:before="100" w:beforeAutospacing="1" w:after="100" w:afterAutospacing="1" w:line="240" w:lineRule="auto"/>
        <w:jc w:val="both"/>
        <w:rPr>
          <w:rFonts w:cstheme="minorHAnsi"/>
          <w:sz w:val="24"/>
          <w:szCs w:val="24"/>
        </w:rPr>
      </w:pPr>
      <w:r w:rsidRPr="00CE3CE8">
        <w:rPr>
          <w:rFonts w:cstheme="minorHAnsi"/>
          <w:sz w:val="24"/>
          <w:szCs w:val="24"/>
        </w:rPr>
        <w:t>Prior to enter in subawards and contracts with award funds, recipients must verify that such contractors and subrecipients are not suspended, debarred, or otherwise excluded pursuant to 31 CFR § 19.300.</w:t>
      </w:r>
    </w:p>
    <w:p w:rsidR="008666D9" w:rsidRDefault="008666D9" w:rsidP="008666D9">
      <w:pPr>
        <w:spacing w:before="100" w:beforeAutospacing="1" w:after="100" w:afterAutospacing="1" w:line="240" w:lineRule="auto"/>
        <w:jc w:val="both"/>
        <w:rPr>
          <w:rFonts w:cstheme="minorHAnsi"/>
          <w:b/>
          <w:i/>
          <w:sz w:val="24"/>
          <w:szCs w:val="24"/>
        </w:rPr>
      </w:pPr>
      <w:r>
        <w:rPr>
          <w:rFonts w:cstheme="minorHAnsi"/>
          <w:b/>
          <w:i/>
          <w:sz w:val="24"/>
          <w:szCs w:val="24"/>
        </w:rPr>
        <w:t>Reporting Requirements</w:t>
      </w:r>
    </w:p>
    <w:p w:rsidR="008666D9" w:rsidRDefault="00A316D8" w:rsidP="008666D9">
      <w:pPr>
        <w:spacing w:before="100" w:beforeAutospacing="1" w:after="100" w:afterAutospacing="1" w:line="240" w:lineRule="auto"/>
        <w:jc w:val="both"/>
        <w:rPr>
          <w:rFonts w:cstheme="minorHAnsi"/>
          <w:sz w:val="24"/>
          <w:szCs w:val="24"/>
        </w:rPr>
      </w:pPr>
      <w:r w:rsidRPr="00D41DA8">
        <w:rPr>
          <w:rFonts w:cstheme="minorHAnsi"/>
          <w:sz w:val="24"/>
          <w:szCs w:val="24"/>
        </w:rPr>
        <w:t>2 CFR 200.331 requires that pass-through entities monitor the activities of the subrecipient as necessary to ensure that the sub-agreement is used for authorized purposes. This is done by reviewing financial and performance reports required by the pass-through entity, following-up</w:t>
      </w:r>
      <w:r w:rsidRPr="00D41DA8">
        <w:rPr>
          <w:rFonts w:eastAsia="Times New Roman" w:cstheme="minorHAnsi"/>
          <w:color w:val="555555"/>
          <w:sz w:val="24"/>
          <w:szCs w:val="24"/>
        </w:rPr>
        <w:t xml:space="preserve"> </w:t>
      </w:r>
      <w:r w:rsidRPr="00D41DA8">
        <w:rPr>
          <w:rFonts w:cstheme="minorHAnsi"/>
          <w:sz w:val="24"/>
          <w:szCs w:val="24"/>
        </w:rPr>
        <w:t>and ensuring that the subrecipient takes timely and appropriate action on all deficiencies pertaining to the federal award; and issuing a management decision for audit findings pertaining to the Federal award.</w:t>
      </w:r>
      <w:r>
        <w:rPr>
          <w:rFonts w:eastAsia="Times New Roman" w:cstheme="minorHAnsi"/>
          <w:color w:val="555555"/>
          <w:sz w:val="24"/>
          <w:szCs w:val="24"/>
        </w:rPr>
        <w:t xml:space="preserve">  </w:t>
      </w:r>
      <w:r w:rsidR="00EE19B4" w:rsidRPr="00EE19B4">
        <w:rPr>
          <w:rFonts w:cstheme="minorHAnsi"/>
          <w:sz w:val="24"/>
          <w:szCs w:val="24"/>
        </w:rPr>
        <w:t>Organizations</w:t>
      </w:r>
      <w:r w:rsidR="00EE19B4">
        <w:rPr>
          <w:rFonts w:cstheme="minorHAnsi"/>
          <w:sz w:val="24"/>
          <w:szCs w:val="24"/>
        </w:rPr>
        <w:t xml:space="preserve"> have monthly reporting requirements to complete.  The organizations must submit financial and performance status reports.  The financial reports wi</w:t>
      </w:r>
      <w:r w:rsidR="006A6E03">
        <w:rPr>
          <w:rFonts w:cstheme="minorHAnsi"/>
          <w:sz w:val="24"/>
          <w:szCs w:val="24"/>
        </w:rPr>
        <w:t>ll detail the expenditur</w:t>
      </w:r>
      <w:r w:rsidR="00EE19B4">
        <w:rPr>
          <w:rFonts w:cstheme="minorHAnsi"/>
          <w:sz w:val="24"/>
          <w:szCs w:val="24"/>
        </w:rPr>
        <w:t>es the organizations have incurred and spent.  The performance status reports wi</w:t>
      </w:r>
      <w:r w:rsidR="00EE749F">
        <w:rPr>
          <w:rFonts w:cstheme="minorHAnsi"/>
          <w:sz w:val="24"/>
          <w:szCs w:val="24"/>
        </w:rPr>
        <w:t xml:space="preserve">ll describe how the funds were used, including specific deliverables achieved, and progress against the objectives and outcomes expected to be achieved.  </w:t>
      </w:r>
      <w:r w:rsidR="009D53EE" w:rsidRPr="00F27B7C">
        <w:rPr>
          <w:rFonts w:cstheme="minorHAnsi"/>
          <w:b/>
          <w:sz w:val="24"/>
          <w:szCs w:val="24"/>
        </w:rPr>
        <w:t xml:space="preserve">On a monthly basis, </w:t>
      </w:r>
      <w:r w:rsidR="00EE749F" w:rsidRPr="00F27B7C">
        <w:rPr>
          <w:rFonts w:cstheme="minorHAnsi"/>
          <w:b/>
          <w:sz w:val="24"/>
          <w:szCs w:val="24"/>
        </w:rPr>
        <w:t xml:space="preserve">Organizations </w:t>
      </w:r>
      <w:r w:rsidR="00EE19B4" w:rsidRPr="00F27B7C">
        <w:rPr>
          <w:rFonts w:cstheme="minorHAnsi"/>
          <w:b/>
          <w:sz w:val="24"/>
          <w:szCs w:val="24"/>
        </w:rPr>
        <w:t>will need to complete the financial and performance summary status report temp</w:t>
      </w:r>
      <w:r w:rsidR="009D53EE" w:rsidRPr="00F27B7C">
        <w:rPr>
          <w:rFonts w:cstheme="minorHAnsi"/>
          <w:b/>
          <w:sz w:val="24"/>
          <w:szCs w:val="24"/>
        </w:rPr>
        <w:t>late and submit together with the</w:t>
      </w:r>
      <w:r w:rsidR="00EE19B4" w:rsidRPr="00F27B7C">
        <w:rPr>
          <w:rFonts w:cstheme="minorHAnsi"/>
          <w:b/>
          <w:sz w:val="24"/>
          <w:szCs w:val="24"/>
        </w:rPr>
        <w:t xml:space="preserve"> financial payroll ex</w:t>
      </w:r>
      <w:r w:rsidR="009D53EE" w:rsidRPr="00F27B7C">
        <w:rPr>
          <w:rFonts w:cstheme="minorHAnsi"/>
          <w:b/>
          <w:sz w:val="24"/>
          <w:szCs w:val="24"/>
        </w:rPr>
        <w:t xml:space="preserve">pense report template </w:t>
      </w:r>
      <w:r w:rsidR="00EE749F" w:rsidRPr="00F27B7C">
        <w:rPr>
          <w:rFonts w:cstheme="minorHAnsi"/>
          <w:b/>
          <w:sz w:val="24"/>
          <w:szCs w:val="24"/>
        </w:rPr>
        <w:t>and financial other expense report template</w:t>
      </w:r>
      <w:r w:rsidR="00F27B7C" w:rsidRPr="00F27B7C">
        <w:rPr>
          <w:rFonts w:cstheme="minorHAnsi"/>
          <w:b/>
          <w:sz w:val="24"/>
          <w:szCs w:val="24"/>
        </w:rPr>
        <w:t>, to include all expenditures incurred the previous month</w:t>
      </w:r>
      <w:r w:rsidR="00EE749F">
        <w:rPr>
          <w:rFonts w:cstheme="minorHAnsi"/>
          <w:sz w:val="24"/>
          <w:szCs w:val="24"/>
        </w:rPr>
        <w:t>.</w:t>
      </w:r>
    </w:p>
    <w:p w:rsidR="00DF6635" w:rsidRPr="0060455A" w:rsidRDefault="00DF6635" w:rsidP="00DF6635">
      <w:pPr>
        <w:spacing w:before="100" w:beforeAutospacing="1" w:after="100" w:afterAutospacing="1" w:line="240" w:lineRule="auto"/>
        <w:jc w:val="both"/>
        <w:rPr>
          <w:rFonts w:cstheme="minorHAnsi"/>
          <w:sz w:val="24"/>
          <w:szCs w:val="24"/>
        </w:rPr>
      </w:pPr>
      <w:r w:rsidRPr="0060455A">
        <w:rPr>
          <w:rFonts w:cstheme="minorHAnsi"/>
          <w:sz w:val="24"/>
          <w:szCs w:val="24"/>
        </w:rPr>
        <w:t>If</w:t>
      </w:r>
      <w:r>
        <w:rPr>
          <w:rFonts w:cstheme="minorHAnsi"/>
          <w:sz w:val="24"/>
          <w:szCs w:val="24"/>
        </w:rPr>
        <w:t xml:space="preserve"> </w:t>
      </w:r>
      <w:r w:rsidRPr="0060455A">
        <w:rPr>
          <w:rFonts w:cstheme="minorHAnsi"/>
          <w:sz w:val="24"/>
          <w:szCs w:val="24"/>
        </w:rPr>
        <w:t xml:space="preserve">costs </w:t>
      </w:r>
      <w:r>
        <w:rPr>
          <w:rFonts w:cstheme="minorHAnsi"/>
          <w:sz w:val="24"/>
          <w:szCs w:val="24"/>
        </w:rPr>
        <w:t>are submitt</w:t>
      </w:r>
      <w:r w:rsidRPr="0060455A">
        <w:rPr>
          <w:rFonts w:cstheme="minorHAnsi"/>
          <w:sz w:val="24"/>
          <w:szCs w:val="24"/>
        </w:rPr>
        <w:t>ed that are not supported with appropriate documentation or do not meet eligible use of funds conditions</w:t>
      </w:r>
      <w:r>
        <w:rPr>
          <w:rFonts w:cstheme="minorHAnsi"/>
          <w:sz w:val="24"/>
          <w:szCs w:val="24"/>
        </w:rPr>
        <w:t>, such requests will be returned with explanation of the denial and can be resubmitted once the reason for the original denial has been addressed.</w:t>
      </w:r>
    </w:p>
    <w:p w:rsidR="00EE749F" w:rsidRDefault="00EE749F" w:rsidP="00EE749F">
      <w:pPr>
        <w:spacing w:before="100" w:beforeAutospacing="1" w:after="100" w:afterAutospacing="1" w:line="240" w:lineRule="auto"/>
        <w:jc w:val="both"/>
        <w:rPr>
          <w:rFonts w:cstheme="minorHAnsi"/>
          <w:sz w:val="24"/>
          <w:szCs w:val="24"/>
        </w:rPr>
      </w:pPr>
      <w:r w:rsidRPr="00F27B7C">
        <w:rPr>
          <w:rFonts w:cstheme="minorHAnsi"/>
          <w:b/>
          <w:sz w:val="24"/>
          <w:szCs w:val="24"/>
        </w:rPr>
        <w:t>The reports</w:t>
      </w:r>
      <w:r w:rsidR="00F27B7C" w:rsidRPr="00F27B7C">
        <w:rPr>
          <w:rFonts w:cstheme="minorHAnsi"/>
          <w:b/>
          <w:sz w:val="24"/>
          <w:szCs w:val="24"/>
        </w:rPr>
        <w:t xml:space="preserve"> are due on the 10</w:t>
      </w:r>
      <w:r w:rsidR="00E40F0B" w:rsidRPr="00F27B7C">
        <w:rPr>
          <w:rFonts w:cstheme="minorHAnsi"/>
          <w:b/>
          <w:sz w:val="24"/>
          <w:szCs w:val="24"/>
          <w:vertAlign w:val="superscript"/>
        </w:rPr>
        <w:t>t</w:t>
      </w:r>
      <w:r w:rsidR="00F27B7C" w:rsidRPr="00F27B7C">
        <w:rPr>
          <w:rFonts w:cstheme="minorHAnsi"/>
          <w:b/>
          <w:sz w:val="24"/>
          <w:szCs w:val="24"/>
          <w:vertAlign w:val="superscript"/>
        </w:rPr>
        <w:t>h</w:t>
      </w:r>
      <w:r w:rsidR="00E40F0B" w:rsidRPr="00F27B7C">
        <w:rPr>
          <w:rFonts w:cstheme="minorHAnsi"/>
          <w:b/>
          <w:sz w:val="24"/>
          <w:szCs w:val="24"/>
        </w:rPr>
        <w:t xml:space="preserve"> day of each month after you receive funding and continues through closeout of the subaward. </w:t>
      </w:r>
      <w:r w:rsidR="001F6BE7">
        <w:rPr>
          <w:rFonts w:cstheme="minorHAnsi"/>
          <w:sz w:val="24"/>
          <w:szCs w:val="24"/>
        </w:rPr>
        <w:t>If the 10</w:t>
      </w:r>
      <w:r w:rsidR="001F6BE7" w:rsidRPr="00781C68">
        <w:rPr>
          <w:rFonts w:cstheme="minorHAnsi"/>
          <w:sz w:val="24"/>
          <w:szCs w:val="24"/>
          <w:vertAlign w:val="superscript"/>
        </w:rPr>
        <w:t>th</w:t>
      </w:r>
      <w:r w:rsidR="001F6BE7">
        <w:rPr>
          <w:rFonts w:cstheme="minorHAnsi"/>
          <w:sz w:val="24"/>
          <w:szCs w:val="24"/>
        </w:rPr>
        <w:t xml:space="preserve"> falls on a weekend or holiday, you must submit your report on the following business day.</w:t>
      </w:r>
      <w:r w:rsidR="001F6BE7">
        <w:rPr>
          <w:rFonts w:cstheme="minorHAnsi"/>
          <w:b/>
          <w:sz w:val="24"/>
          <w:szCs w:val="24"/>
        </w:rPr>
        <w:t xml:space="preserve"> </w:t>
      </w:r>
      <w:r>
        <w:rPr>
          <w:rFonts w:cstheme="minorHAnsi"/>
          <w:sz w:val="24"/>
          <w:szCs w:val="24"/>
        </w:rPr>
        <w:t xml:space="preserve">The closeout of the subaward will be determined by </w:t>
      </w:r>
      <w:r w:rsidR="00184CDC">
        <w:rPr>
          <w:rFonts w:cstheme="minorHAnsi"/>
          <w:sz w:val="24"/>
          <w:szCs w:val="24"/>
        </w:rPr>
        <w:t>DF</w:t>
      </w:r>
      <w:r>
        <w:rPr>
          <w:rFonts w:cstheme="minorHAnsi"/>
          <w:sz w:val="24"/>
          <w:szCs w:val="24"/>
        </w:rPr>
        <w:t>A based upon final review of the status reports submitted by the organizations.</w:t>
      </w:r>
      <w:r w:rsidR="00C7445C">
        <w:rPr>
          <w:rFonts w:cstheme="minorHAnsi"/>
          <w:sz w:val="24"/>
          <w:szCs w:val="24"/>
        </w:rPr>
        <w:t xml:space="preserve"> </w:t>
      </w:r>
      <w:r w:rsidR="006867C2">
        <w:rPr>
          <w:rFonts w:cstheme="minorHAnsi"/>
          <w:sz w:val="24"/>
          <w:szCs w:val="24"/>
        </w:rPr>
        <w:t>I</w:t>
      </w:r>
      <w:r w:rsidR="00C7445C" w:rsidRPr="00D41DA8">
        <w:rPr>
          <w:rFonts w:cstheme="minorHAnsi"/>
          <w:sz w:val="24"/>
          <w:szCs w:val="24"/>
        </w:rPr>
        <w:t xml:space="preserve">ndirect costs </w:t>
      </w:r>
      <w:r w:rsidR="006867C2">
        <w:rPr>
          <w:rFonts w:cstheme="minorHAnsi"/>
          <w:sz w:val="24"/>
          <w:szCs w:val="24"/>
        </w:rPr>
        <w:t>rates can</w:t>
      </w:r>
      <w:r w:rsidR="00DF6635">
        <w:rPr>
          <w:rFonts w:cstheme="minorHAnsi"/>
          <w:sz w:val="24"/>
          <w:szCs w:val="24"/>
        </w:rPr>
        <w:t xml:space="preserve"> be charged to the SLFRF</w:t>
      </w:r>
      <w:r w:rsidR="006867C2">
        <w:rPr>
          <w:rFonts w:cstheme="minorHAnsi"/>
          <w:sz w:val="24"/>
          <w:szCs w:val="24"/>
        </w:rPr>
        <w:t>, as provided by an entity’s Negotiated Indirect Cost Rate Agreement (NICRA) established with a Federal Cognizant Agency</w:t>
      </w:r>
      <w:r w:rsidR="00C7445C" w:rsidRPr="00D41DA8">
        <w:rPr>
          <w:rFonts w:cstheme="minorHAnsi"/>
          <w:sz w:val="24"/>
          <w:szCs w:val="24"/>
        </w:rPr>
        <w:t>.</w:t>
      </w:r>
      <w:r w:rsidR="00CE531C">
        <w:rPr>
          <w:rFonts w:cstheme="minorHAnsi"/>
          <w:sz w:val="24"/>
          <w:szCs w:val="24"/>
        </w:rPr>
        <w:t xml:space="preserve">  Alternatively, if</w:t>
      </w:r>
      <w:r w:rsidR="006867C2">
        <w:rPr>
          <w:rFonts w:cstheme="minorHAnsi"/>
          <w:sz w:val="24"/>
          <w:szCs w:val="24"/>
        </w:rPr>
        <w:t xml:space="preserve"> you do not have a NICRA</w:t>
      </w:r>
      <w:r w:rsidR="00CE531C">
        <w:rPr>
          <w:rFonts w:cstheme="minorHAnsi"/>
          <w:sz w:val="24"/>
          <w:szCs w:val="24"/>
        </w:rPr>
        <w:t>,</w:t>
      </w:r>
      <w:r w:rsidR="006867C2">
        <w:rPr>
          <w:rFonts w:cstheme="minorHAnsi"/>
          <w:sz w:val="24"/>
          <w:szCs w:val="24"/>
        </w:rPr>
        <w:t xml:space="preserve"> a rate of 10 percent of direct costs incurred</w:t>
      </w:r>
      <w:r w:rsidR="00CE531C">
        <w:rPr>
          <w:rFonts w:cstheme="minorHAnsi"/>
          <w:sz w:val="24"/>
          <w:szCs w:val="24"/>
        </w:rPr>
        <w:t xml:space="preserve"> may be used</w:t>
      </w:r>
      <w:r w:rsidR="006867C2">
        <w:rPr>
          <w:rFonts w:cstheme="minorHAnsi"/>
          <w:sz w:val="24"/>
          <w:szCs w:val="24"/>
        </w:rPr>
        <w:t>.</w:t>
      </w:r>
    </w:p>
    <w:p w:rsidR="00EE749F" w:rsidRPr="00EE749F" w:rsidRDefault="00EE749F" w:rsidP="00EE749F">
      <w:pPr>
        <w:spacing w:before="100" w:beforeAutospacing="1" w:after="100" w:afterAutospacing="1" w:line="240" w:lineRule="auto"/>
        <w:jc w:val="both"/>
        <w:rPr>
          <w:rFonts w:cstheme="minorHAnsi"/>
          <w:sz w:val="24"/>
          <w:szCs w:val="24"/>
        </w:rPr>
      </w:pPr>
    </w:p>
    <w:p w:rsidR="0060455A" w:rsidRPr="0060455A" w:rsidRDefault="0060455A" w:rsidP="005B4CCE">
      <w:pPr>
        <w:spacing w:before="100" w:beforeAutospacing="1" w:after="100" w:afterAutospacing="1" w:line="240" w:lineRule="auto"/>
        <w:jc w:val="both"/>
        <w:rPr>
          <w:rFonts w:cstheme="minorHAnsi"/>
          <w:sz w:val="24"/>
          <w:szCs w:val="24"/>
        </w:rPr>
      </w:pPr>
      <w:r w:rsidRPr="0060455A">
        <w:rPr>
          <w:rFonts w:cstheme="minorHAnsi"/>
          <w:sz w:val="24"/>
          <w:szCs w:val="24"/>
        </w:rPr>
        <w:t xml:space="preserve">By:  </w:t>
      </w:r>
      <w:r w:rsidRPr="0060455A">
        <w:rPr>
          <w:rFonts w:cstheme="minorHAnsi"/>
          <w:sz w:val="24"/>
          <w:szCs w:val="24"/>
        </w:rPr>
        <w:tab/>
      </w:r>
      <w:r w:rsidRPr="0060455A">
        <w:rPr>
          <w:rFonts w:cstheme="minorHAnsi"/>
          <w:sz w:val="24"/>
          <w:szCs w:val="24"/>
        </w:rPr>
        <w:tab/>
      </w:r>
      <w:r w:rsidR="007876F4">
        <w:rPr>
          <w:rFonts w:cstheme="minorHAnsi"/>
          <w:sz w:val="24"/>
          <w:szCs w:val="24"/>
        </w:rPr>
        <w:tab/>
      </w:r>
      <w:r w:rsidR="007876F4">
        <w:rPr>
          <w:rFonts w:cstheme="minorHAnsi"/>
          <w:sz w:val="24"/>
          <w:szCs w:val="24"/>
        </w:rPr>
        <w:tab/>
      </w:r>
      <w:r w:rsidRPr="0060455A">
        <w:rPr>
          <w:rFonts w:cstheme="minorHAnsi"/>
          <w:sz w:val="24"/>
          <w:szCs w:val="24"/>
        </w:rPr>
        <w:t>_________</w:t>
      </w:r>
      <w:r w:rsidR="006867C2">
        <w:rPr>
          <w:rFonts w:cstheme="minorHAnsi"/>
          <w:sz w:val="24"/>
          <w:szCs w:val="24"/>
        </w:rPr>
        <w:t>__</w:t>
      </w:r>
      <w:r w:rsidRPr="0060455A">
        <w:rPr>
          <w:rFonts w:cstheme="minorHAnsi"/>
          <w:sz w:val="24"/>
          <w:szCs w:val="24"/>
        </w:rPr>
        <w:t>___</w:t>
      </w:r>
      <w:r w:rsidR="006867C2">
        <w:rPr>
          <w:rFonts w:cstheme="minorHAnsi"/>
          <w:sz w:val="24"/>
          <w:szCs w:val="24"/>
        </w:rPr>
        <w:t>___</w:t>
      </w:r>
      <w:r w:rsidRPr="0060455A">
        <w:rPr>
          <w:rFonts w:cstheme="minorHAnsi"/>
          <w:sz w:val="24"/>
          <w:szCs w:val="24"/>
        </w:rPr>
        <w:t>__</w:t>
      </w:r>
      <w:r w:rsidR="006867C2">
        <w:rPr>
          <w:rFonts w:cstheme="minorHAnsi"/>
          <w:sz w:val="24"/>
          <w:szCs w:val="24"/>
        </w:rPr>
        <w:t>__</w:t>
      </w:r>
    </w:p>
    <w:p w:rsidR="0060455A" w:rsidRPr="0060455A" w:rsidRDefault="007876F4" w:rsidP="005B4CCE">
      <w:pPr>
        <w:spacing w:before="100" w:beforeAutospacing="1" w:after="100" w:afterAutospacing="1" w:line="240" w:lineRule="auto"/>
        <w:jc w:val="both"/>
        <w:rPr>
          <w:rFonts w:cstheme="minorHAnsi"/>
          <w:sz w:val="24"/>
          <w:szCs w:val="24"/>
        </w:rPr>
      </w:pPr>
      <w:r>
        <w:rPr>
          <w:rFonts w:cstheme="minorHAnsi"/>
          <w:sz w:val="24"/>
          <w:szCs w:val="24"/>
        </w:rPr>
        <w:t xml:space="preserve">Authorized </w:t>
      </w:r>
      <w:r w:rsidR="0060455A" w:rsidRPr="0060455A">
        <w:rPr>
          <w:rFonts w:cstheme="minorHAnsi"/>
          <w:sz w:val="24"/>
          <w:szCs w:val="24"/>
        </w:rPr>
        <w:t xml:space="preserve">Signature: </w:t>
      </w:r>
      <w:r w:rsidR="0060455A" w:rsidRPr="0060455A">
        <w:rPr>
          <w:rFonts w:cstheme="minorHAnsi"/>
          <w:sz w:val="24"/>
          <w:szCs w:val="24"/>
        </w:rPr>
        <w:tab/>
        <w:t>___________</w:t>
      </w:r>
      <w:r w:rsidR="006867C2">
        <w:rPr>
          <w:rFonts w:cstheme="minorHAnsi"/>
          <w:sz w:val="24"/>
          <w:szCs w:val="24"/>
        </w:rPr>
        <w:t>__</w:t>
      </w:r>
      <w:r w:rsidR="0060455A" w:rsidRPr="0060455A">
        <w:rPr>
          <w:rFonts w:cstheme="minorHAnsi"/>
          <w:sz w:val="24"/>
          <w:szCs w:val="24"/>
        </w:rPr>
        <w:t>___</w:t>
      </w:r>
      <w:r w:rsidR="006867C2">
        <w:rPr>
          <w:rFonts w:cstheme="minorHAnsi"/>
          <w:sz w:val="24"/>
          <w:szCs w:val="24"/>
        </w:rPr>
        <w:t>_____</w:t>
      </w:r>
    </w:p>
    <w:p w:rsidR="0060455A" w:rsidRPr="0060455A" w:rsidRDefault="0060455A" w:rsidP="005B4CCE">
      <w:pPr>
        <w:spacing w:before="100" w:beforeAutospacing="1" w:after="100" w:afterAutospacing="1" w:line="240" w:lineRule="auto"/>
        <w:jc w:val="both"/>
        <w:rPr>
          <w:rFonts w:cstheme="minorHAnsi"/>
          <w:sz w:val="24"/>
          <w:szCs w:val="24"/>
        </w:rPr>
      </w:pPr>
      <w:r w:rsidRPr="0060455A">
        <w:rPr>
          <w:rFonts w:cstheme="minorHAnsi"/>
          <w:sz w:val="24"/>
          <w:szCs w:val="24"/>
        </w:rPr>
        <w:t xml:space="preserve">Title: </w:t>
      </w:r>
      <w:r w:rsidRPr="0060455A">
        <w:rPr>
          <w:rFonts w:cstheme="minorHAnsi"/>
          <w:sz w:val="24"/>
          <w:szCs w:val="24"/>
        </w:rPr>
        <w:tab/>
      </w:r>
      <w:r w:rsidRPr="0060455A">
        <w:rPr>
          <w:rFonts w:cstheme="minorHAnsi"/>
          <w:sz w:val="24"/>
          <w:szCs w:val="24"/>
        </w:rPr>
        <w:tab/>
      </w:r>
      <w:r w:rsidR="007876F4">
        <w:rPr>
          <w:rFonts w:cstheme="minorHAnsi"/>
          <w:sz w:val="24"/>
          <w:szCs w:val="24"/>
        </w:rPr>
        <w:tab/>
      </w:r>
      <w:r w:rsidR="007876F4">
        <w:rPr>
          <w:rFonts w:cstheme="minorHAnsi"/>
          <w:sz w:val="24"/>
          <w:szCs w:val="24"/>
        </w:rPr>
        <w:tab/>
      </w:r>
      <w:r w:rsidRPr="0060455A">
        <w:rPr>
          <w:rFonts w:cstheme="minorHAnsi"/>
          <w:sz w:val="24"/>
          <w:szCs w:val="24"/>
        </w:rPr>
        <w:t>_____________</w:t>
      </w:r>
      <w:r w:rsidR="006867C2">
        <w:rPr>
          <w:rFonts w:cstheme="minorHAnsi"/>
          <w:sz w:val="24"/>
          <w:szCs w:val="24"/>
        </w:rPr>
        <w:t>__</w:t>
      </w:r>
      <w:r w:rsidRPr="0060455A">
        <w:rPr>
          <w:rFonts w:cstheme="minorHAnsi"/>
          <w:sz w:val="24"/>
          <w:szCs w:val="24"/>
        </w:rPr>
        <w:t>_</w:t>
      </w:r>
    </w:p>
    <w:p w:rsidR="00A16E5B" w:rsidRPr="0060455A" w:rsidRDefault="0060455A" w:rsidP="00CE6482">
      <w:pPr>
        <w:spacing w:before="100" w:beforeAutospacing="1" w:after="100" w:afterAutospacing="1" w:line="240" w:lineRule="auto"/>
        <w:jc w:val="both"/>
        <w:rPr>
          <w:rFonts w:cstheme="minorHAnsi"/>
          <w:sz w:val="24"/>
          <w:szCs w:val="24"/>
        </w:rPr>
      </w:pPr>
      <w:r w:rsidRPr="0060455A">
        <w:rPr>
          <w:rFonts w:cstheme="minorHAnsi"/>
          <w:sz w:val="24"/>
          <w:szCs w:val="24"/>
        </w:rPr>
        <w:t xml:space="preserve">Date:  </w:t>
      </w:r>
      <w:r w:rsidRPr="0060455A">
        <w:rPr>
          <w:rFonts w:cstheme="minorHAnsi"/>
          <w:sz w:val="24"/>
          <w:szCs w:val="24"/>
        </w:rPr>
        <w:tab/>
      </w:r>
      <w:r w:rsidR="00CE6482">
        <w:rPr>
          <w:rFonts w:cstheme="minorHAnsi"/>
          <w:sz w:val="24"/>
          <w:szCs w:val="24"/>
        </w:rPr>
        <w:tab/>
      </w:r>
      <w:r w:rsidR="007876F4">
        <w:rPr>
          <w:rFonts w:cstheme="minorHAnsi"/>
          <w:sz w:val="24"/>
          <w:szCs w:val="24"/>
        </w:rPr>
        <w:tab/>
      </w:r>
      <w:r w:rsidR="007876F4">
        <w:rPr>
          <w:rFonts w:cstheme="minorHAnsi"/>
          <w:sz w:val="24"/>
          <w:szCs w:val="24"/>
        </w:rPr>
        <w:tab/>
      </w:r>
      <w:r w:rsidRPr="0060455A">
        <w:rPr>
          <w:rFonts w:cstheme="minorHAnsi"/>
          <w:sz w:val="24"/>
          <w:szCs w:val="24"/>
        </w:rPr>
        <w:t>______________</w:t>
      </w:r>
      <w:r w:rsidR="006867C2">
        <w:rPr>
          <w:rFonts w:cstheme="minorHAnsi"/>
          <w:sz w:val="24"/>
          <w:szCs w:val="24"/>
        </w:rPr>
        <w:t>__</w:t>
      </w:r>
    </w:p>
    <w:sectPr w:rsidR="00A16E5B" w:rsidRPr="006045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F5" w:rsidRDefault="00512AF5" w:rsidP="00512AF5">
      <w:pPr>
        <w:spacing w:after="0" w:line="240" w:lineRule="auto"/>
      </w:pPr>
      <w:r>
        <w:separator/>
      </w:r>
    </w:p>
  </w:endnote>
  <w:endnote w:type="continuationSeparator" w:id="0">
    <w:p w:rsidR="00512AF5" w:rsidRDefault="00512AF5" w:rsidP="0051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F5" w:rsidRDefault="00512AF5" w:rsidP="00512AF5">
      <w:pPr>
        <w:spacing w:after="0" w:line="240" w:lineRule="auto"/>
      </w:pPr>
      <w:r>
        <w:separator/>
      </w:r>
    </w:p>
  </w:footnote>
  <w:footnote w:type="continuationSeparator" w:id="0">
    <w:p w:rsidR="00512AF5" w:rsidRDefault="00512AF5" w:rsidP="0051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7D66"/>
    <w:multiLevelType w:val="multilevel"/>
    <w:tmpl w:val="EB2E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012CF"/>
    <w:multiLevelType w:val="multilevel"/>
    <w:tmpl w:val="C9E4EE2C"/>
    <w:lvl w:ilvl="0">
      <w:start w:val="21"/>
      <w:numFmt w:val="upperLetter"/>
      <w:lvlText w:val="%1"/>
      <w:lvlJc w:val="left"/>
      <w:pPr>
        <w:ind w:left="110" w:hanging="466"/>
      </w:pPr>
      <w:rPr>
        <w:rFonts w:hint="default"/>
      </w:rPr>
    </w:lvl>
    <w:lvl w:ilvl="1">
      <w:start w:val="19"/>
      <w:numFmt w:val="upperLetter"/>
      <w:lvlText w:val="%1.%2."/>
      <w:lvlJc w:val="left"/>
      <w:pPr>
        <w:ind w:left="110" w:hanging="466"/>
      </w:pPr>
      <w:rPr>
        <w:rFonts w:ascii="Times New Roman" w:eastAsia="Times New Roman" w:hAnsi="Times New Roman" w:cs="Times New Roman" w:hint="default"/>
        <w:spacing w:val="-1"/>
        <w:w w:val="100"/>
        <w:sz w:val="23"/>
        <w:szCs w:val="23"/>
      </w:rPr>
    </w:lvl>
    <w:lvl w:ilvl="2">
      <w:start w:val="1"/>
      <w:numFmt w:val="decimal"/>
      <w:lvlText w:val="(%3)"/>
      <w:lvlJc w:val="left"/>
      <w:pPr>
        <w:ind w:left="1191" w:hanging="360"/>
      </w:pPr>
      <w:rPr>
        <w:rFonts w:ascii="Times New Roman" w:eastAsia="Times New Roman" w:hAnsi="Times New Roman" w:cs="Times New Roman" w:hint="default"/>
        <w:w w:val="100"/>
        <w:sz w:val="23"/>
        <w:szCs w:val="23"/>
      </w:rPr>
    </w:lvl>
    <w:lvl w:ilvl="3">
      <w:start w:val="1"/>
      <w:numFmt w:val="upperLetter"/>
      <w:lvlText w:val="(%4)"/>
      <w:lvlJc w:val="left"/>
      <w:pPr>
        <w:ind w:left="1209" w:hanging="380"/>
      </w:pPr>
      <w:rPr>
        <w:rFonts w:ascii="Times New Roman" w:eastAsia="Times New Roman" w:hAnsi="Times New Roman" w:cs="Times New Roman" w:hint="default"/>
        <w:spacing w:val="-1"/>
        <w:w w:val="100"/>
        <w:sz w:val="23"/>
        <w:szCs w:val="23"/>
      </w:rPr>
    </w:lvl>
    <w:lvl w:ilvl="4">
      <w:start w:val="1"/>
      <w:numFmt w:val="lowerRoman"/>
      <w:lvlText w:val="(%5)"/>
      <w:lvlJc w:val="left"/>
      <w:pPr>
        <w:ind w:left="2271" w:hanging="720"/>
      </w:pPr>
      <w:rPr>
        <w:rFonts w:ascii="Times New Roman" w:eastAsia="Times New Roman" w:hAnsi="Times New Roman" w:cs="Times New Roman" w:hint="default"/>
        <w:w w:val="100"/>
        <w:sz w:val="23"/>
        <w:szCs w:val="23"/>
      </w:rPr>
    </w:lvl>
    <w:lvl w:ilvl="5">
      <w:numFmt w:val="bullet"/>
      <w:lvlText w:val="•"/>
      <w:lvlJc w:val="left"/>
      <w:pPr>
        <w:ind w:left="5032" w:hanging="720"/>
      </w:pPr>
      <w:rPr>
        <w:rFonts w:hint="default"/>
      </w:rPr>
    </w:lvl>
    <w:lvl w:ilvl="6">
      <w:numFmt w:val="bullet"/>
      <w:lvlText w:val="•"/>
      <w:lvlJc w:val="left"/>
      <w:pPr>
        <w:ind w:left="5950" w:hanging="720"/>
      </w:pPr>
      <w:rPr>
        <w:rFonts w:hint="default"/>
      </w:rPr>
    </w:lvl>
    <w:lvl w:ilvl="7">
      <w:numFmt w:val="bullet"/>
      <w:lvlText w:val="•"/>
      <w:lvlJc w:val="left"/>
      <w:pPr>
        <w:ind w:left="6867" w:hanging="720"/>
      </w:pPr>
      <w:rPr>
        <w:rFonts w:hint="default"/>
      </w:rPr>
    </w:lvl>
    <w:lvl w:ilvl="8">
      <w:numFmt w:val="bullet"/>
      <w:lvlText w:val="•"/>
      <w:lvlJc w:val="left"/>
      <w:pPr>
        <w:ind w:left="7785" w:hanging="720"/>
      </w:pPr>
      <w:rPr>
        <w:rFonts w:hint="default"/>
      </w:rPr>
    </w:lvl>
  </w:abstractNum>
  <w:abstractNum w:abstractNumId="2" w15:restartNumberingAfterBreak="0">
    <w:nsid w:val="28A045A4"/>
    <w:multiLevelType w:val="multilevel"/>
    <w:tmpl w:val="C00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043E7"/>
    <w:multiLevelType w:val="hybridMultilevel"/>
    <w:tmpl w:val="92F4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82FC5"/>
    <w:multiLevelType w:val="hybridMultilevel"/>
    <w:tmpl w:val="B90E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82393"/>
    <w:multiLevelType w:val="hybridMultilevel"/>
    <w:tmpl w:val="92F4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75C4C"/>
    <w:multiLevelType w:val="hybridMultilevel"/>
    <w:tmpl w:val="3118ED84"/>
    <w:lvl w:ilvl="0" w:tplc="8ABE165A">
      <w:start w:val="8"/>
      <w:numFmt w:val="upperLetter"/>
      <w:lvlText w:val="%1."/>
      <w:lvlJc w:val="left"/>
      <w:pPr>
        <w:ind w:left="861"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1" w:tplc="C54A461C">
      <w:start w:val="1"/>
      <w:numFmt w:val="decimal"/>
      <w:lvlText w:val="%2."/>
      <w:lvlJc w:val="left"/>
      <w:pPr>
        <w:ind w:left="1582" w:hanging="722"/>
        <w:jc w:val="left"/>
      </w:pPr>
      <w:rPr>
        <w:rFonts w:ascii="Times New Roman" w:eastAsia="Times New Roman" w:hAnsi="Times New Roman" w:cs="Times New Roman" w:hint="default"/>
        <w:b/>
        <w:bCs/>
        <w:i w:val="0"/>
        <w:iCs w:val="0"/>
        <w:w w:val="100"/>
        <w:sz w:val="24"/>
        <w:szCs w:val="24"/>
        <w:lang w:val="en-US" w:eastAsia="en-US" w:bidi="ar-SA"/>
      </w:rPr>
    </w:lvl>
    <w:lvl w:ilvl="2" w:tplc="183AF0C2">
      <w:numFmt w:val="bullet"/>
      <w:lvlText w:val="•"/>
      <w:lvlJc w:val="left"/>
      <w:pPr>
        <w:ind w:left="2475" w:hanging="722"/>
      </w:pPr>
      <w:rPr>
        <w:rFonts w:hint="default"/>
        <w:lang w:val="en-US" w:eastAsia="en-US" w:bidi="ar-SA"/>
      </w:rPr>
    </w:lvl>
    <w:lvl w:ilvl="3" w:tplc="EF7CF3FA">
      <w:numFmt w:val="bullet"/>
      <w:lvlText w:val="•"/>
      <w:lvlJc w:val="left"/>
      <w:pPr>
        <w:ind w:left="3371" w:hanging="722"/>
      </w:pPr>
      <w:rPr>
        <w:rFonts w:hint="default"/>
        <w:lang w:val="en-US" w:eastAsia="en-US" w:bidi="ar-SA"/>
      </w:rPr>
    </w:lvl>
    <w:lvl w:ilvl="4" w:tplc="5FF6DB5E">
      <w:numFmt w:val="bullet"/>
      <w:lvlText w:val="•"/>
      <w:lvlJc w:val="left"/>
      <w:pPr>
        <w:ind w:left="4266" w:hanging="722"/>
      </w:pPr>
      <w:rPr>
        <w:rFonts w:hint="default"/>
        <w:lang w:val="en-US" w:eastAsia="en-US" w:bidi="ar-SA"/>
      </w:rPr>
    </w:lvl>
    <w:lvl w:ilvl="5" w:tplc="3CFCE162">
      <w:numFmt w:val="bullet"/>
      <w:lvlText w:val="•"/>
      <w:lvlJc w:val="left"/>
      <w:pPr>
        <w:ind w:left="5162" w:hanging="722"/>
      </w:pPr>
      <w:rPr>
        <w:rFonts w:hint="default"/>
        <w:lang w:val="en-US" w:eastAsia="en-US" w:bidi="ar-SA"/>
      </w:rPr>
    </w:lvl>
    <w:lvl w:ilvl="6" w:tplc="E8BE7DAC">
      <w:numFmt w:val="bullet"/>
      <w:lvlText w:val="•"/>
      <w:lvlJc w:val="left"/>
      <w:pPr>
        <w:ind w:left="6057" w:hanging="722"/>
      </w:pPr>
      <w:rPr>
        <w:rFonts w:hint="default"/>
        <w:lang w:val="en-US" w:eastAsia="en-US" w:bidi="ar-SA"/>
      </w:rPr>
    </w:lvl>
    <w:lvl w:ilvl="7" w:tplc="9880DFD4">
      <w:numFmt w:val="bullet"/>
      <w:lvlText w:val="•"/>
      <w:lvlJc w:val="left"/>
      <w:pPr>
        <w:ind w:left="6953" w:hanging="722"/>
      </w:pPr>
      <w:rPr>
        <w:rFonts w:hint="default"/>
        <w:lang w:val="en-US" w:eastAsia="en-US" w:bidi="ar-SA"/>
      </w:rPr>
    </w:lvl>
    <w:lvl w:ilvl="8" w:tplc="875C543A">
      <w:numFmt w:val="bullet"/>
      <w:lvlText w:val="•"/>
      <w:lvlJc w:val="left"/>
      <w:pPr>
        <w:ind w:left="7848" w:hanging="722"/>
      </w:pPr>
      <w:rPr>
        <w:rFonts w:hint="default"/>
        <w:lang w:val="en-US" w:eastAsia="en-US" w:bidi="ar-SA"/>
      </w:rPr>
    </w:lvl>
  </w:abstractNum>
  <w:abstractNum w:abstractNumId="7" w15:restartNumberingAfterBreak="0">
    <w:nsid w:val="6C1B2052"/>
    <w:multiLevelType w:val="hybridMultilevel"/>
    <w:tmpl w:val="2F60E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C3"/>
    <w:rsid w:val="00032DF7"/>
    <w:rsid w:val="0018158C"/>
    <w:rsid w:val="00184CDC"/>
    <w:rsid w:val="00197C39"/>
    <w:rsid w:val="001F42D7"/>
    <w:rsid w:val="001F6BE7"/>
    <w:rsid w:val="002222DB"/>
    <w:rsid w:val="0026219D"/>
    <w:rsid w:val="002B4B32"/>
    <w:rsid w:val="002B7D26"/>
    <w:rsid w:val="00306EC8"/>
    <w:rsid w:val="003919EC"/>
    <w:rsid w:val="00396B30"/>
    <w:rsid w:val="003A5E2F"/>
    <w:rsid w:val="003B3706"/>
    <w:rsid w:val="003D1E1F"/>
    <w:rsid w:val="00400953"/>
    <w:rsid w:val="00430BD1"/>
    <w:rsid w:val="00465BED"/>
    <w:rsid w:val="004953D0"/>
    <w:rsid w:val="004F5DF0"/>
    <w:rsid w:val="00512AF5"/>
    <w:rsid w:val="00515241"/>
    <w:rsid w:val="00517542"/>
    <w:rsid w:val="00534DD6"/>
    <w:rsid w:val="00562599"/>
    <w:rsid w:val="00582E32"/>
    <w:rsid w:val="005B4CCE"/>
    <w:rsid w:val="005C24D7"/>
    <w:rsid w:val="005D5441"/>
    <w:rsid w:val="0060455A"/>
    <w:rsid w:val="00666BDC"/>
    <w:rsid w:val="006777AB"/>
    <w:rsid w:val="006867C2"/>
    <w:rsid w:val="006A6E03"/>
    <w:rsid w:val="006D74B3"/>
    <w:rsid w:val="00711C05"/>
    <w:rsid w:val="00714A89"/>
    <w:rsid w:val="0073666A"/>
    <w:rsid w:val="00773550"/>
    <w:rsid w:val="007876F4"/>
    <w:rsid w:val="007D3300"/>
    <w:rsid w:val="007E09D8"/>
    <w:rsid w:val="00840B1D"/>
    <w:rsid w:val="008666D9"/>
    <w:rsid w:val="0087076F"/>
    <w:rsid w:val="008C0932"/>
    <w:rsid w:val="008C0BEA"/>
    <w:rsid w:val="008C3C5B"/>
    <w:rsid w:val="008D702B"/>
    <w:rsid w:val="0090493F"/>
    <w:rsid w:val="00997511"/>
    <w:rsid w:val="009D53EE"/>
    <w:rsid w:val="009F61C3"/>
    <w:rsid w:val="00A13775"/>
    <w:rsid w:val="00A16E5B"/>
    <w:rsid w:val="00A316D8"/>
    <w:rsid w:val="00A52E4C"/>
    <w:rsid w:val="00A94372"/>
    <w:rsid w:val="00AA2548"/>
    <w:rsid w:val="00AF637B"/>
    <w:rsid w:val="00B32FB3"/>
    <w:rsid w:val="00B3663F"/>
    <w:rsid w:val="00B4085E"/>
    <w:rsid w:val="00BE4227"/>
    <w:rsid w:val="00C7445C"/>
    <w:rsid w:val="00C90BE7"/>
    <w:rsid w:val="00CE3CE8"/>
    <w:rsid w:val="00CE531C"/>
    <w:rsid w:val="00CE6482"/>
    <w:rsid w:val="00CF077C"/>
    <w:rsid w:val="00CF2253"/>
    <w:rsid w:val="00D41DA8"/>
    <w:rsid w:val="00D71D4D"/>
    <w:rsid w:val="00D72ED0"/>
    <w:rsid w:val="00D90261"/>
    <w:rsid w:val="00D95F6C"/>
    <w:rsid w:val="00D96C9F"/>
    <w:rsid w:val="00DA634B"/>
    <w:rsid w:val="00DA6E21"/>
    <w:rsid w:val="00DF6635"/>
    <w:rsid w:val="00E06C63"/>
    <w:rsid w:val="00E15F30"/>
    <w:rsid w:val="00E340EE"/>
    <w:rsid w:val="00E40F0B"/>
    <w:rsid w:val="00E66B8A"/>
    <w:rsid w:val="00EE19B4"/>
    <w:rsid w:val="00EE749F"/>
    <w:rsid w:val="00F119C7"/>
    <w:rsid w:val="00F27B7C"/>
    <w:rsid w:val="00F8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2093"/>
  <w15:chartTrackingRefBased/>
  <w15:docId w15:val="{D66832CC-C253-47CE-9F4C-AB6657F2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6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37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465BE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65BE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65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5BED"/>
    <w:rPr>
      <w:color w:val="0000FF"/>
      <w:u w:val="single"/>
    </w:rPr>
  </w:style>
  <w:style w:type="paragraph" w:styleId="ListParagraph">
    <w:name w:val="List Paragraph"/>
    <w:basedOn w:val="Normal"/>
    <w:uiPriority w:val="1"/>
    <w:qFormat/>
    <w:rsid w:val="00E66B8A"/>
    <w:pPr>
      <w:ind w:left="720"/>
      <w:contextualSpacing/>
    </w:pPr>
  </w:style>
  <w:style w:type="paragraph" w:styleId="BodyText">
    <w:name w:val="Body Text"/>
    <w:basedOn w:val="Normal"/>
    <w:link w:val="BodyTextChar"/>
    <w:uiPriority w:val="1"/>
    <w:qFormat/>
    <w:rsid w:val="00CF077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CF077C"/>
    <w:rPr>
      <w:rFonts w:ascii="Times New Roman" w:eastAsia="Times New Roman" w:hAnsi="Times New Roman" w:cs="Times New Roman"/>
      <w:sz w:val="23"/>
      <w:szCs w:val="23"/>
    </w:rPr>
  </w:style>
  <w:style w:type="character" w:customStyle="1" w:styleId="Heading2Char">
    <w:name w:val="Heading 2 Char"/>
    <w:basedOn w:val="DefaultParagraphFont"/>
    <w:link w:val="Heading2"/>
    <w:uiPriority w:val="9"/>
    <w:semiHidden/>
    <w:rsid w:val="00A1377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1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AF5"/>
  </w:style>
  <w:style w:type="paragraph" w:styleId="Footer">
    <w:name w:val="footer"/>
    <w:basedOn w:val="Normal"/>
    <w:link w:val="FooterChar"/>
    <w:uiPriority w:val="99"/>
    <w:unhideWhenUsed/>
    <w:rsid w:val="0051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AF5"/>
  </w:style>
  <w:style w:type="paragraph" w:styleId="BalloonText">
    <w:name w:val="Balloon Text"/>
    <w:basedOn w:val="Normal"/>
    <w:link w:val="BalloonTextChar"/>
    <w:uiPriority w:val="99"/>
    <w:semiHidden/>
    <w:unhideWhenUsed/>
    <w:rsid w:val="0026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19D"/>
    <w:rPr>
      <w:rFonts w:ascii="Segoe UI" w:hAnsi="Segoe UI" w:cs="Segoe UI"/>
      <w:sz w:val="18"/>
      <w:szCs w:val="18"/>
    </w:rPr>
  </w:style>
  <w:style w:type="character" w:customStyle="1" w:styleId="Heading1Char">
    <w:name w:val="Heading 1 Char"/>
    <w:basedOn w:val="DefaultParagraphFont"/>
    <w:link w:val="Heading1"/>
    <w:uiPriority w:val="9"/>
    <w:rsid w:val="00306E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3" Type="http://schemas.openxmlformats.org/officeDocument/2006/relationships/settings" Target="settings.xml"/><Relationship Id="rId7" Type="http://schemas.openxmlformats.org/officeDocument/2006/relationships/hyperlink" Target="https://home.treasury.gov/system/files/136/SLFRF-Final-Rule-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 Wallace</dc:creator>
  <cp:keywords/>
  <dc:description/>
  <cp:lastModifiedBy>Elton Sims</cp:lastModifiedBy>
  <cp:revision>3</cp:revision>
  <cp:lastPrinted>2022-07-07T16:15:00Z</cp:lastPrinted>
  <dcterms:created xsi:type="dcterms:W3CDTF">2024-05-30T17:39:00Z</dcterms:created>
  <dcterms:modified xsi:type="dcterms:W3CDTF">2024-05-30T17:42:00Z</dcterms:modified>
</cp:coreProperties>
</file>